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B810"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Утвержден</w:t>
      </w:r>
    </w:p>
    <w:p w14:paraId="16BE0140"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Решением Комиссии Таможенного Союза</w:t>
      </w:r>
    </w:p>
    <w:p w14:paraId="1242BA03"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от 18 октября 2011 г. N 825</w:t>
      </w:r>
    </w:p>
    <w:p w14:paraId="24E6BCB0" w14:textId="77777777" w:rsidR="00751FA9" w:rsidRPr="00751FA9" w:rsidRDefault="00751FA9" w:rsidP="00751FA9">
      <w:pPr>
        <w:spacing w:after="100" w:afterAutospacing="1"/>
        <w:jc w:val="center"/>
        <w:rPr>
          <w:rFonts w:ascii="Arial" w:eastAsia="Times New Roman" w:hAnsi="Arial" w:cs="Arial"/>
          <w:color w:val="212529"/>
          <w:lang w:eastAsia="ru-RU"/>
        </w:rPr>
      </w:pPr>
      <w:r w:rsidRPr="00751FA9">
        <w:rPr>
          <w:rFonts w:ascii="Arial" w:eastAsia="Times New Roman" w:hAnsi="Arial" w:cs="Arial"/>
          <w:b/>
          <w:bCs/>
          <w:color w:val="212529"/>
          <w:lang w:eastAsia="ru-RU"/>
        </w:rPr>
        <w:t>ТЕХНИЧЕСКИЙ РЕГЛАМЕНТ ТАМОЖЕННОГО СОЮЗА</w:t>
      </w:r>
    </w:p>
    <w:p w14:paraId="42E17D3C" w14:textId="77777777" w:rsidR="00751FA9" w:rsidRPr="00751FA9" w:rsidRDefault="00751FA9" w:rsidP="00751FA9">
      <w:pPr>
        <w:spacing w:after="100" w:afterAutospacing="1"/>
        <w:jc w:val="center"/>
        <w:rPr>
          <w:rFonts w:ascii="Arial" w:eastAsia="Times New Roman" w:hAnsi="Arial" w:cs="Arial"/>
          <w:color w:val="212529"/>
          <w:lang w:eastAsia="ru-RU"/>
        </w:rPr>
      </w:pPr>
      <w:r w:rsidRPr="00751FA9">
        <w:rPr>
          <w:rFonts w:ascii="Arial" w:eastAsia="Times New Roman" w:hAnsi="Arial" w:cs="Arial"/>
          <w:b/>
          <w:bCs/>
          <w:color w:val="212529"/>
          <w:lang w:eastAsia="ru-RU"/>
        </w:rPr>
        <w:t>ТР ТС 012/2011</w:t>
      </w:r>
    </w:p>
    <w:p w14:paraId="5F8E43B5" w14:textId="77777777" w:rsidR="00751FA9" w:rsidRPr="00751FA9" w:rsidRDefault="00751FA9" w:rsidP="00751FA9">
      <w:pPr>
        <w:spacing w:after="100" w:afterAutospacing="1"/>
        <w:jc w:val="center"/>
        <w:rPr>
          <w:rFonts w:ascii="Arial" w:eastAsia="Times New Roman" w:hAnsi="Arial" w:cs="Arial"/>
          <w:color w:val="212529"/>
          <w:lang w:eastAsia="ru-RU"/>
        </w:rPr>
      </w:pPr>
      <w:r w:rsidRPr="00751FA9">
        <w:rPr>
          <w:rFonts w:ascii="Arial" w:eastAsia="Times New Roman" w:hAnsi="Arial" w:cs="Arial"/>
          <w:b/>
          <w:bCs/>
          <w:color w:val="212529"/>
          <w:lang w:eastAsia="ru-RU"/>
        </w:rPr>
        <w:t>"О БЕЗОПАСНОСТИ ОБОРУДОВАНИЯ ДЛЯ РАБОТЫ ВО ВЗРЫВООПАСНЫХ СРЕДАХ"</w:t>
      </w:r>
    </w:p>
    <w:p w14:paraId="6FC85995" w14:textId="77777777" w:rsidR="00751FA9" w:rsidRPr="00751FA9" w:rsidRDefault="00751FA9" w:rsidP="00751FA9">
      <w:pPr>
        <w:spacing w:after="100" w:afterAutospacing="1"/>
        <w:jc w:val="center"/>
        <w:rPr>
          <w:rFonts w:ascii="Arial" w:eastAsia="Times New Roman" w:hAnsi="Arial" w:cs="Arial"/>
          <w:color w:val="212529"/>
          <w:lang w:eastAsia="ru-RU"/>
        </w:rPr>
      </w:pPr>
      <w:r w:rsidRPr="00751FA9">
        <w:rPr>
          <w:rFonts w:ascii="Arial" w:eastAsia="Times New Roman" w:hAnsi="Arial" w:cs="Arial"/>
          <w:b/>
          <w:bCs/>
          <w:color w:val="212529"/>
          <w:lang w:eastAsia="ru-RU"/>
        </w:rPr>
        <w:t>ПРЕДИСЛОВИЕ</w:t>
      </w:r>
    </w:p>
    <w:p w14:paraId="7421995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Настоящий технический регламент Таможенного союза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w:t>
      </w:r>
    </w:p>
    <w:p w14:paraId="4805AF3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Настоящий технический регламент Таможенного союза устанавливает на единой таможенной территории Таможенного союза единые обязательные для применения и исполнения требования к оборудованию для работы во взрывоопасных средах в целях обеспечения свободного перемещения указанного оборудования, выпускаемого в обращение на единой таможенной территории Таможенного союза.</w:t>
      </w:r>
    </w:p>
    <w:p w14:paraId="1D20E6B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Если в отношении оборудования для работы во взрывоопасных средах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указанному оборудованию, отличные от требований взрывобезопасности, то оно должно соответствовать требованиям этих технических регламентов Таможенного союза и (или) технических регламентов ЕврАзЭС, действие которых на них распространяется.</w:t>
      </w:r>
    </w:p>
    <w:p w14:paraId="123FEABA"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1. ОБЛАСТЬ ПРИМЕНЕНИЯ</w:t>
      </w:r>
    </w:p>
    <w:p w14:paraId="391C98C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Настоящий технический регламент Таможенного союза устанавливает требования к оборудованию для работы во взрывоопасных средах, выполнение которых обеспечивает безопасность его применения во взрывоопасных средах.</w:t>
      </w:r>
    </w:p>
    <w:p w14:paraId="191E789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Настоящий технический регламент Таможенного союза принят в целях защиты жизни и здоровья человека, имущества, предупреждения действий, вводящих в заблуждение потребителей.</w:t>
      </w:r>
    </w:p>
    <w:p w14:paraId="41041DD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3. Настоящий технический регламент Таможенного союза распространяется на электрическое (электрооборудование), включая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-компоненты, и неэлектрическое оборудование для работы во взрывоопасных средах.</w:t>
      </w:r>
    </w:p>
    <w:p w14:paraId="55F92EF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Идентификационным признаком оборудования для работы во взрывоопасных средах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 xml:space="preserve">-компонентов является наличие средств обеспечения взрывозащиты, </w:t>
      </w:r>
      <w:r w:rsidRPr="00751FA9">
        <w:rPr>
          <w:rFonts w:ascii="Arial" w:eastAsia="Times New Roman" w:hAnsi="Arial" w:cs="Arial"/>
          <w:color w:val="212529"/>
          <w:lang w:eastAsia="ru-RU"/>
        </w:rPr>
        <w:lastRenderedPageBreak/>
        <w:t xml:space="preserve">указанных в технической документации изготовителя, и маркировки взрывозащиты, нанесенной на оборудование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w:t>
      </w:r>
    </w:p>
    <w:p w14:paraId="538BE1F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Действие настоящего технического регламента Таможенного союза не распространяется на:</w:t>
      </w:r>
    </w:p>
    <w:p w14:paraId="3867D27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изделия медицинского назначения;</w:t>
      </w:r>
    </w:p>
    <w:p w14:paraId="0200DE2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оборудование, при эксплуатации которого опасность взрыва возникает только из-за наличия взрывоопасных веществ и нестойких химических соединений;</w:t>
      </w:r>
    </w:p>
    <w:p w14:paraId="7656E18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оборудование для бытового и непроизводственного применения в условиях, когда взрывоопасная среда образуется вследствие непредвиденной утечки горючего газа;</w:t>
      </w:r>
    </w:p>
    <w:p w14:paraId="7E1782D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средства индивидуальной защиты;</w:t>
      </w:r>
    </w:p>
    <w:p w14:paraId="6704424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морские суда, суда внутреннего и смешанного (река-море) плавания, передвижные морские платформы и буровые платформы для работы в морских и внутренних водах, иные плавучие средства, а также используемые на них машины и оборудование;</w:t>
      </w:r>
    </w:p>
    <w:p w14:paraId="2970AB7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транспортные средства общего пользования, предназначенные для перевозки пассажиров и грузов воздушным, наземным, железнодорожным или водным транспортом;</w:t>
      </w:r>
    </w:p>
    <w:p w14:paraId="626DC04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ядерное оружие, исследовательские установки организаций ядерно-оборонного комплекса, кроме входящего в их состав оборудования, находящегося во взрывоопасных зонах.</w:t>
      </w:r>
    </w:p>
    <w:p w14:paraId="27754BEA"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2. ОПРЕДЕЛЕНИЯ</w:t>
      </w:r>
    </w:p>
    <w:p w14:paraId="59EE22B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 настоящем техническом регламенте Таможенного союза применяются следующие термины и их определения:</w:t>
      </w:r>
    </w:p>
    <w:p w14:paraId="1FB727C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"аварийный режим" - режим, при котором характеристики оборудования для работы во взрывоопасных средах выходят за пределы ограничений, указанных изготовителем в технической документации;</w:t>
      </w:r>
    </w:p>
    <w:p w14:paraId="507E51A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"анализ состояния производства изготовителя" - оценка наличия у изготовителя необходимых условий для обеспечения соответствия выпускаемого оборудования требованиям настоящего технического регламента Таможенного союза;</w:t>
      </w:r>
    </w:p>
    <w:p w14:paraId="190ED19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"ввод в эксплуатацию" - документально оформленное событие, фиксирующее готовность оборудования к применению по назначению;</w:t>
      </w:r>
    </w:p>
    <w:p w14:paraId="688ADBC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"вид взрывозащиты" - специальные меры, предусмотренные в оборудовании для работы во взрывоопасных средах с целью предотвращения воспламенения окружающей взрывоопасной среды;</w:t>
      </w:r>
    </w:p>
    <w:p w14:paraId="321F3AC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"взрывобезопасность" - отсутствие недопустимого риска воспламенения окружающей взрывоопасной среды, связанного с возможностью причинения вреда и (или) нанесения ущерба;</w:t>
      </w:r>
    </w:p>
    <w:p w14:paraId="731F1FC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"взрывозащита" - меры, обеспечивающие взрывобезопасность оборудования для работы во взрывоопасных средах;</w:t>
      </w:r>
    </w:p>
    <w:p w14:paraId="0C12678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"взрывоопасная зона" - часть замкнутого или открытого пространства, в которой присутствует или может образоваться взрывоопасная среда в объеме, требующем специальных мер защиты при конструировании, изготовлении, монтаже и эксплуатации оборудования;</w:t>
      </w:r>
    </w:p>
    <w:p w14:paraId="3919E72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"взрывоопасная среда" - смесь с воздухом при атмосферных условиях горючих веществ в виде газа, пара, тумана, пыли, волокон или летучих частиц, в которой после воспламенения происходит самоподдерживающееся распространение пламени;</w:t>
      </w:r>
    </w:p>
    <w:p w14:paraId="31C69A5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"идентификация оборудования" - установление тождественности характеристик оборудования его существенным признакам;</w:t>
      </w:r>
    </w:p>
    <w:p w14:paraId="2B1BD22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оборудования для работы во взрывоопасных средах и ответственные за его соответствие требованиям настоящего технического регламента Таможенного союза;</w:t>
      </w:r>
    </w:p>
    <w:p w14:paraId="6559CDC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"импортер" - резидент государства - члена Таможенного союза, который заключил с нерезидентом государств - членов Таможенного союза внешнеторговый договор на передачу оборудования для работы во взрывоопасных средах, осуществляет реализацию этого оборудования и несет ответственность за его соответствие требованиям безопасности настоящего технического регламента Таможенного союза;</w:t>
      </w:r>
    </w:p>
    <w:p w14:paraId="41381A3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 - устанавливаемое на (в) оборудование взрывозащищенное техническое устройство, необходимое для безопасного функционирования оборудования во взрывоопасных средах, но не предназначенное для самостоятельного применения;</w:t>
      </w:r>
    </w:p>
    <w:p w14:paraId="2051ADE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"максимальная температура поверхности" - наибольшая температура, возникающая в процессе эксплуатации на одной из частей или поверхности оборудования при нарушении установленных режимов его работы, предусмотренных в технической документации изготовителя, или повреждения, но в пределах отклонений, установленных для взрывозащиты конкретного вида;</w:t>
      </w:r>
    </w:p>
    <w:p w14:paraId="78896A8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"маркировка взрывозащиты" - наносимые на оборудование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 xml:space="preserve">-компоненты для работы во взрывоопасных средах и указанные в технической документации изготовителя специальный знак взрывобезопасности и идентификационные условные обозначения показателей, определяющих взрывобезопасность оборудования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-компонентов для работы во взрывоопасных средах;</w:t>
      </w:r>
    </w:p>
    <w:p w14:paraId="4AC8C7A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"нормальный режим эксплуатации" - режим работы оборудования, при котором его электрические и механические характеристики не выходят за пределы ограничений, указанных изготовителем в технической документации;</w:t>
      </w:r>
    </w:p>
    <w:p w14:paraId="13A079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для работы во взрывоопасных средах" - техническое устройство (машина, аппарат, стационарная или передвижная установка, элемент их систем управления, защиты, устройство, обеспечивающее защиту, контрольно-измерительный прибор), которое предназначено для работы во взрывоопасных средах и может содержать собственные потенциальные источники воспламенения окружающей взрывоопасной среды, но его конструкцией предусмотрены меры по исключению недопустимого риска воспламенения этой среды;</w:t>
      </w:r>
    </w:p>
    <w:p w14:paraId="0E6AE4E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"отказ" - событие, заключающееся в нарушении работоспособного состояния оборудования;</w:t>
      </w:r>
    </w:p>
    <w:p w14:paraId="35DB85C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"сертификат соответствия менеджмента качества" - документ, которым орган по сертификации систем менеджмента качества удостоверяет соответствие качества работ и услуг изготовителя требованиям стандартов ИСО 9000;</w:t>
      </w:r>
    </w:p>
    <w:p w14:paraId="41A8B8D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"специальный знак взрывобезопасности" - знак, наносимый на оборудование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 xml:space="preserve">-компоненты и свидетельствующий, что оборудование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-компоненты выполнены во взрывозащищенном исполнении;</w:t>
      </w:r>
    </w:p>
    <w:p w14:paraId="00C76F1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"температура самовоспламенения взрывоопасной газовой среды" - наименьшая температура нагретой поверхности, которая в заданных условиях воспламеняет горючие вещества в виде газо- или паровоздушной смеси;</w:t>
      </w:r>
    </w:p>
    <w:p w14:paraId="7DFC8EA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"температура самовоспламенения слоя пыли" - наименьшая температура нагретой поверхности, при которой происходит самовоспламенение слоя пыли заданной толщины на этой поверхности;</w:t>
      </w:r>
    </w:p>
    <w:p w14:paraId="5CFA893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"техническая документация изготовителя" - система графических и текстовых документов, используемых при конструировании, изготовлении и эксплуатации оборудования для работы во взрывоопасных средах (деталей, сборочных единиц, комплексов и комплектов), а также при проектировании, возведении и эксплуатации систем защиты;</w:t>
      </w:r>
    </w:p>
    <w:p w14:paraId="126E1C6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"уровень взрывозащиты" - уровень защиты от взрыва, присваиваемый оборудованию в зависимости от опасности стать источником воспламенения и условий применения во взрывоопасных средах.</w:t>
      </w:r>
    </w:p>
    <w:p w14:paraId="25448212"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3. ПРАВИЛА ОБРАЩЕНИЯ НА РЫНКЕ</w:t>
      </w:r>
    </w:p>
    <w:p w14:paraId="503EC08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для работы во взрывоопасных средах выпускается в обращение на единой таможенной территории Таможенного союза при условии, что оно прошло необходимые процедуры оценки (подтверждения) соответствия, установленные настоящим техническим регламентом Таможенного союза, а также другими техническими регламентами Таможенного союза и техническими регламентами Евразийского экономического сообщества (далее - ЕврАзЭС), действие которых распространяется на данное оборудование.</w:t>
      </w:r>
    </w:p>
    <w:p w14:paraId="126D130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2. Оборудование для работы во взрывоопасных средах,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государств - членов Таможенного союза и не допускается к выпуску в обращение на рынке.</w:t>
      </w:r>
    </w:p>
    <w:p w14:paraId="7D7EA88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для работы во взрывоопасных средах (далее - оборудование) должно соответствовать требованиям, необходимым для безопасного функционирования и эксплуатации в отношении риска взрыва:</w:t>
      </w:r>
    </w:p>
    <w:p w14:paraId="7F1573A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по предупреждению образования взрывоопасной среды, которая может создаваться за счет выделения оборудованием горючих веществ;</w:t>
      </w:r>
    </w:p>
    <w:p w14:paraId="7503AC4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по предупреждению воспламенения взрывоопасной среды с учетом характера каждого источника инициирования взрыва;</w:t>
      </w:r>
    </w:p>
    <w:p w14:paraId="28F435E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 соответствии с областью применения оборудования, уровнями и видами взрывозащиты согласно приложению 1.</w:t>
      </w:r>
    </w:p>
    <w:p w14:paraId="3BC55F6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Взрывобезопасность оборудования должна обеспечиваться в нормальных режимах работы и в пределах отклонений, установленных технической документацией изготовителя, с учетом условий его применения.</w:t>
      </w:r>
    </w:p>
    <w:p w14:paraId="1DE99C8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Оборудование для работы во взрывоопасных средах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следующих требований безопасности:</w:t>
      </w:r>
    </w:p>
    <w:p w14:paraId="2626C40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должно обеспечивать взрывобезопасность при эксплуатации в течение всего предполагаемого (расчетного) срока службы;</w:t>
      </w:r>
    </w:p>
    <w:p w14:paraId="383B2A5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оборудование должно функционировать в фактических или прогнозируемых условиях окружающей среды;</w:t>
      </w:r>
    </w:p>
    <w:p w14:paraId="50D437B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оборудование должно сохранять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и др.) с учетом ограничений рабочих условий, установленных изготовителем.</w:t>
      </w:r>
    </w:p>
    <w:p w14:paraId="786AB88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Части оборудования должны быть рассчитаны на соответствующее механическое и тепловое воздействие и должны выдерживать воздействие существующих или предполагаемых агрессивных веществ;</w:t>
      </w:r>
    </w:p>
    <w:p w14:paraId="31360AB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если оборудование содержит части, которые могут быть источниками воспламенения, оно должно открываться в выключенном состоянии или содержать только искробезопасные цепи, или иметь защиту от прикасания персонала и предупредительные надписи;</w:t>
      </w:r>
    </w:p>
    <w:p w14:paraId="0145786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5) при наличии в оболочках накопителей электрического заряда (конденсаторов) и нагретых элементов, которые могут быть источниками воспламенения, оболочки должны открываться с выдержкой времени, достаточной для разрядки </w:t>
      </w:r>
      <w:r w:rsidRPr="00751FA9">
        <w:rPr>
          <w:rFonts w:ascii="Arial" w:eastAsia="Times New Roman" w:hAnsi="Arial" w:cs="Arial"/>
          <w:color w:val="212529"/>
          <w:lang w:eastAsia="ru-RU"/>
        </w:rPr>
        <w:lastRenderedPageBreak/>
        <w:t>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14:paraId="6127E4A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должен нанести на открывающиеся части оборудования предупредительную надпись;</w:t>
      </w:r>
    </w:p>
    <w:p w14:paraId="527C869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температура поверхности оборудования с уровнем взрывозащиты "</w:t>
      </w:r>
      <w:proofErr w:type="spellStart"/>
      <w:r w:rsidRPr="00751FA9">
        <w:rPr>
          <w:rFonts w:ascii="Arial" w:eastAsia="Times New Roman" w:hAnsi="Arial" w:cs="Arial"/>
          <w:color w:val="212529"/>
          <w:lang w:eastAsia="ru-RU"/>
        </w:rPr>
        <w:t>особовзрывобезопасный</w:t>
      </w:r>
      <w:proofErr w:type="spellEnd"/>
      <w:r w:rsidRPr="00751FA9">
        <w:rPr>
          <w:rFonts w:ascii="Arial" w:eastAsia="Times New Roman" w:hAnsi="Arial" w:cs="Arial"/>
          <w:color w:val="212529"/>
          <w:lang w:eastAsia="ru-RU"/>
        </w:rPr>
        <w:t>" ("очень высокий") и "взрывобезопасный" ("высокий") и (или) его частей должна быть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14:paraId="0E44D1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в случае, если изготовитель принимает дополнительные меры по защите указанного оборудования.</w:t>
      </w:r>
    </w:p>
    <w:p w14:paraId="012EE29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Необходимо учитывать повышение температуры, вызванное внешними источниками нагревания и химическими реакциями;</w:t>
      </w:r>
    </w:p>
    <w:p w14:paraId="7EB713F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температура поверхности оборудования с уровнем взрывозащиты "повышенная надежность против взрыва" ("повышенный") не должна быть выше максимальной температуры поверхности в нормальном режиме эксплуатации.</w:t>
      </w:r>
    </w:p>
    <w:p w14:paraId="5085E08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Конструкция такого оборудования не должна иметь частей, способных к искрообразованию, воспламеняющему окружающую взрывоопасную среду;</w:t>
      </w:r>
    </w:p>
    <w:p w14:paraId="3B03220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оборудование группы I должно быть пылезащищенным и предотвращать опасность воспламенения угольной пыли;</w:t>
      </w:r>
    </w:p>
    <w:p w14:paraId="023CA2D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9) в оборудовании группы III, включая кабельные вводы и соединения, пыль (с учетом размера ее частиц) не должна образовывать взрывоопасные смеси с воздухом или опасные скопления внутри оборудования;</w:t>
      </w:r>
    </w:p>
    <w:p w14:paraId="6B3EB13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10) оборудование, которое может выделять горючие </w:t>
      </w:r>
      <w:proofErr w:type="spellStart"/>
      <w:r w:rsidRPr="00751FA9">
        <w:rPr>
          <w:rFonts w:ascii="Arial" w:eastAsia="Times New Roman" w:hAnsi="Arial" w:cs="Arial"/>
          <w:color w:val="212529"/>
          <w:lang w:eastAsia="ru-RU"/>
        </w:rPr>
        <w:t>газы</w:t>
      </w:r>
      <w:proofErr w:type="spellEnd"/>
      <w:r w:rsidRPr="00751FA9">
        <w:rPr>
          <w:rFonts w:ascii="Arial" w:eastAsia="Times New Roman" w:hAnsi="Arial" w:cs="Arial"/>
          <w:color w:val="212529"/>
          <w:lang w:eastAsia="ru-RU"/>
        </w:rPr>
        <w:t xml:space="preserve"> или пыль, должно иметь закрытые конструкции. Имеющиеся в оборудовании отверстия или негерметичные соединения должны быть спроектированы так, чтобы образующиеся </w:t>
      </w:r>
      <w:proofErr w:type="spellStart"/>
      <w:r w:rsidRPr="00751FA9">
        <w:rPr>
          <w:rFonts w:ascii="Arial" w:eastAsia="Times New Roman" w:hAnsi="Arial" w:cs="Arial"/>
          <w:color w:val="212529"/>
          <w:lang w:eastAsia="ru-RU"/>
        </w:rPr>
        <w:t>газы</w:t>
      </w:r>
      <w:proofErr w:type="spellEnd"/>
      <w:r w:rsidRPr="00751FA9">
        <w:rPr>
          <w:rFonts w:ascii="Arial" w:eastAsia="Times New Roman" w:hAnsi="Arial" w:cs="Arial"/>
          <w:color w:val="212529"/>
          <w:lang w:eastAsia="ru-RU"/>
        </w:rPr>
        <w:t xml:space="preserve"> или пыль не привели к возникновению взрывоопасной среды с внешней стороны оборудования. Отверстия, через которые материалы вводятся или выводятся, должны проектироваться и оборудоваться так, чтобы ограничить выход горючих материалов во время заполнения или слива;</w:t>
      </w:r>
    </w:p>
    <w:p w14:paraId="5F2293C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11) оборудование, предназначенное для применения на объектах и (или) их участках с присутствием пыли, должно проектироваться так, чтобы пыль, осевшая на его поверхности, не воспламенялась. Отложения пыли должны ограничиваться </w:t>
      </w:r>
      <w:r w:rsidRPr="00751FA9">
        <w:rPr>
          <w:rFonts w:ascii="Arial" w:eastAsia="Times New Roman" w:hAnsi="Arial" w:cs="Arial"/>
          <w:color w:val="212529"/>
          <w:lang w:eastAsia="ru-RU"/>
        </w:rPr>
        <w:lastRenderedPageBreak/>
        <w:t>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должна быть ниже температуры самовоспламенения слоя пыли. При этом должны предусматриваться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14:paraId="4C8B4A2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12) должно быть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14:paraId="16A96BE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13) при аварийном отключении оборудования аккумулированная энергия должна рассеиваться до безопасного значения за время, указанное на предупредительных табличках, размещенных на открываемых крышках;</w:t>
      </w:r>
    </w:p>
    <w:p w14:paraId="7C9C4DC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14) оборудование должно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должно быть безопасным;</w:t>
      </w:r>
    </w:p>
    <w:p w14:paraId="1361EB7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15) если оборудование имеет устройства обнаружения или предупредительной сигнализации для контроля взрывоопасной среды, места и условия их размещения должны предусматриваться в технической документации изготовителя;</w:t>
      </w:r>
    </w:p>
    <w:p w14:paraId="2E9247F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16) оборудование не должно содержать материалы, способные выделять горючие вещества, создающие взрывоопасную среду;</w:t>
      </w:r>
    </w:p>
    <w:p w14:paraId="3CDF702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17) в пределах рабочих условий, установленных в технической документации изготовителя, необходимо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14:paraId="62DE3C1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18) оборудование не должно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14:paraId="02B439D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19)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-компоненты, устанавливаемые в оборудовании или используемые для замены деталей оборудования и систем защиты, должны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14:paraId="571BADC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20) оборудование, которое может подвергаться внешним воздействиям, должно обеспечиваться дополнительными средствами защиты. Оборудование должно выдерживать внешние воздействия без нарушения его взрывозащиты;</w:t>
      </w:r>
    </w:p>
    <w:p w14:paraId="5BE62F0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21) если оборудование находится в корпусе или закрытом контейнере, которые являются частью вида взрывозащиты, такой корпус или контейнер должны открываться только с помощью специального инструмента или с применением соответствующих мер защиты;</w:t>
      </w:r>
    </w:p>
    <w:p w14:paraId="28A786A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22) для предотвращения опасной перегрузки оборудования должно быть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p w14:paraId="3DE4627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Конструкция оборудования должна обеспечивать защиту от следующих потенциальных источников воспламенения:</w:t>
      </w:r>
    </w:p>
    <w:p w14:paraId="7DA368B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14:paraId="00F538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статическое электричество (электростатические заряды, способные вызвать опасные разряды);</w:t>
      </w:r>
    </w:p>
    <w:p w14:paraId="5A8E285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блуждающие токи и токи утечки, которые могут привести к появлению опасной коррозии, искр или перегреву поверхностей и создавать, таким образом, возможность воспламенения;</w:t>
      </w:r>
    </w:p>
    <w:p w14:paraId="1AAE533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перегрев в результате трения или ударов, который может возникнуть между материалами и частями, соприкасающимися друг с другом при вращении или проникновении посторонних предметов;</w:t>
      </w:r>
    </w:p>
    <w:p w14:paraId="2CBC5B5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компенсация давления, которая осуществляется регулирующими устройствами и может вызывать ударные волны или сжатия, приводящие к воспламенению;</w:t>
      </w:r>
    </w:p>
    <w:p w14:paraId="510844E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удары молнии;</w:t>
      </w:r>
    </w:p>
    <w:p w14:paraId="45487C9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экзотермические реакции, включая самовоспламенение пыли.</w:t>
      </w:r>
    </w:p>
    <w:p w14:paraId="08E1179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При этом должны быть приняты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должны быть выбраны способы обеспечения взрывозащиты (виды взрывозащиты) оборудования для его применения во взрывоопасных средах.</w:t>
      </w:r>
    </w:p>
    <w:p w14:paraId="3E53723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Устройства, обеспечивающие защиту оборудования при аварийных режимах, должны соответствовать следующим требованиям:</w:t>
      </w:r>
    </w:p>
    <w:p w14:paraId="2251B12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защитные устройства должны функционировать независимо от любого необходимого для работы измерительного или контрольного устройства. Отказ защитного устройства должен обнаруживаться с помощью технических средств, предусмотренных технической документацией;</w:t>
      </w:r>
    </w:p>
    <w:p w14:paraId="3306D53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аварийное выключение должно непосредственно приводить в действие соответствующие устройства управления без промежуточной команды программного обеспечения;</w:t>
      </w:r>
    </w:p>
    <w:p w14:paraId="282EEFA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3) аварийные средства управления защитных устройств должны оборудоваться механизмами или иными устройствами блокировки повторного запуска. Новая </w:t>
      </w:r>
      <w:r w:rsidRPr="00751FA9">
        <w:rPr>
          <w:rFonts w:ascii="Arial" w:eastAsia="Times New Roman" w:hAnsi="Arial" w:cs="Arial"/>
          <w:color w:val="212529"/>
          <w:lang w:eastAsia="ru-RU"/>
        </w:rPr>
        <w:lastRenderedPageBreak/>
        <w:t>команда запуска может выполняться и нормальная работа возобновляться только после специального сброса блокировок повторного запуска;</w:t>
      </w:r>
    </w:p>
    <w:p w14:paraId="2BACD4D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применяемые устройства управления и индикаторы должны проектироваться с целью обеспечения максимально возможного уровня эксплуатационной безопасности в отношении риска взрыва;</w:t>
      </w:r>
    </w:p>
    <w:p w14:paraId="206E7A5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устройства с измерительной функцией должны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14:paraId="4958894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должна обеспечиваться возможность проверки точности показаний и функционирования устройств с измерительной функцией;</w:t>
      </w:r>
    </w:p>
    <w:p w14:paraId="6497B75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аварийный порог потенциального источника воспламенения устройств с измерительной функцией должен находиться ниже предельных условий возникновения взрыва и (или)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14:paraId="2B62890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программное обеспечение управляемого им оборудования должно учитывать риски, связанные с ошибками в программе.</w:t>
      </w:r>
    </w:p>
    <w:p w14:paraId="7E2FE9B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При поставке оборудования потребителю к нему должна прилагаться техническая документация изготовителя, которая должна включать:</w:t>
      </w:r>
    </w:p>
    <w:p w14:paraId="0F2634A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14:paraId="47BF9C0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информацию о его назначении;</w:t>
      </w:r>
    </w:p>
    <w:p w14:paraId="1CD08CF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указания по монтажу, сборке, наладке или регулировке;</w:t>
      </w:r>
    </w:p>
    <w:p w14:paraId="07BC6E7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14:paraId="62E7A94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назначенные показатели срока службы и (или) назначенный ресурс;</w:t>
      </w:r>
    </w:p>
    <w:p w14:paraId="6C56940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14:paraId="507B004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параметры предельных состояний;</w:t>
      </w:r>
    </w:p>
    <w:p w14:paraId="19C6955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информацию о мерах, которые следует предпринять при обнаружении неисправности этого оборудования;</w:t>
      </w:r>
    </w:p>
    <w:p w14:paraId="725AD8A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9) информацию о необходимости доукомплектования дополнительными элементами (кабельными вводами и т. д.);</w:t>
      </w:r>
    </w:p>
    <w:p w14:paraId="2236808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10) требования к обеспечению сохранения технических характеристик оборудования, обуславливающих его взрывобезопасность;</w:t>
      </w:r>
    </w:p>
    <w:p w14:paraId="1FED3FE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14:paraId="6BB9C66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12) требования к утилизации оборудования;</w:t>
      </w:r>
    </w:p>
    <w:p w14:paraId="50FE3C4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13) правила и условия хранения, перевозки и утилизации (при необходимости - установление требований к ним);</w:t>
      </w:r>
    </w:p>
    <w:p w14:paraId="445C6E2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14) требования к персоналу;</w:t>
      </w:r>
    </w:p>
    <w:p w14:paraId="28FAA4A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15) местонахождение изготовителя, информацию для связи с ним;</w:t>
      </w:r>
    </w:p>
    <w:p w14:paraId="328ACC3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16) наименование и местонахождение уполномоченного изготовителем лица, импортера, информацию для связи с ним;</w:t>
      </w:r>
    </w:p>
    <w:p w14:paraId="11C9535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17) дату изготовления.</w:t>
      </w:r>
    </w:p>
    <w:p w14:paraId="738FFA8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p w14:paraId="758A6AB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На оборудование должна быть нанесена маркировка, которая включает:</w:t>
      </w:r>
    </w:p>
    <w:p w14:paraId="5A2D343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наименование изготовителя или его зарегистрированный товарный знак;</w:t>
      </w:r>
    </w:p>
    <w:p w14:paraId="1339094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обозначение типа оборудования;</w:t>
      </w:r>
    </w:p>
    <w:p w14:paraId="0E26E1B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заводской номер;</w:t>
      </w:r>
    </w:p>
    <w:p w14:paraId="04ACC31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номер сертификата соответствия;</w:t>
      </w:r>
    </w:p>
    <w:p w14:paraId="72C49B3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маркировку взрывозащиты. Изображение специального знака взрывобезопасности установлено в приложении 2.</w:t>
      </w:r>
    </w:p>
    <w:p w14:paraId="7B82D18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Маркировка и техническая документация изготовителя выполняются на русском языке и на государственном(</w:t>
      </w:r>
      <w:proofErr w:type="spellStart"/>
      <w:r w:rsidRPr="00751FA9">
        <w:rPr>
          <w:rFonts w:ascii="Arial" w:eastAsia="Times New Roman" w:hAnsi="Arial" w:cs="Arial"/>
          <w:color w:val="212529"/>
          <w:lang w:eastAsia="ru-RU"/>
        </w:rPr>
        <w:t>ых</w:t>
      </w:r>
      <w:proofErr w:type="spellEnd"/>
      <w:r w:rsidRPr="00751FA9">
        <w:rPr>
          <w:rFonts w:ascii="Arial" w:eastAsia="Times New Roman" w:hAnsi="Arial" w:cs="Arial"/>
          <w:color w:val="212529"/>
          <w:lang w:eastAsia="ru-RU"/>
        </w:rPr>
        <w:t>) языке(ах) государства - члена Таможенного союза, при наличии соответствующих требований в законодательстве(ах) государства - члена Таможенного союза.</w:t>
      </w:r>
    </w:p>
    <w:p w14:paraId="64AE59A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9. Маркировка должна быть нанесена на поверхность этого оборудования или табличку, доступные для осмотра без разборки или применения инструмента, и сохраняться в течение всего срока службы оборудования.</w:t>
      </w:r>
    </w:p>
    <w:p w14:paraId="0FB23B8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10. По решению изготовителя или в соответствии с контрактом (договором) поставки маркировка оборудования может включать дополнительную </w:t>
      </w:r>
      <w:r w:rsidRPr="00751FA9">
        <w:rPr>
          <w:rFonts w:ascii="Arial" w:eastAsia="Times New Roman" w:hAnsi="Arial" w:cs="Arial"/>
          <w:color w:val="212529"/>
          <w:lang w:eastAsia="ru-RU"/>
        </w:rPr>
        <w:lastRenderedPageBreak/>
        <w:t>информацию, которая имеет значение для его безопасного применения, в том числе:</w:t>
      </w:r>
    </w:p>
    <w:p w14:paraId="43A1838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номинальное напряжение или диапазон номинальных напряжений;</w:t>
      </w:r>
    </w:p>
    <w:p w14:paraId="2640A13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длительно допустимое рабочее напряжение;</w:t>
      </w:r>
    </w:p>
    <w:p w14:paraId="1874E75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условное обозначение рода тока (если не указана номинальная частота);</w:t>
      </w:r>
    </w:p>
    <w:p w14:paraId="57DC995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условное обозначение класса защиты от поражения человека электрическим током;</w:t>
      </w:r>
    </w:p>
    <w:p w14:paraId="44F3DED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степень защиты, обеспечиваемая оболочкой;</w:t>
      </w:r>
    </w:p>
    <w:p w14:paraId="5AB9EE4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номинальную потребляемую или полезную мощность либо номинальный ток;</w:t>
      </w:r>
    </w:p>
    <w:p w14:paraId="29F7B8E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массу;</w:t>
      </w:r>
    </w:p>
    <w:p w14:paraId="1F7DEB0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габаритные размеры;</w:t>
      </w:r>
    </w:p>
    <w:p w14:paraId="3CAD8B3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9) дату изготовления.</w:t>
      </w:r>
    </w:p>
    <w:p w14:paraId="68C173A5"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5. ОБЕСПЕЧЕНИЕ СООТВЕТСТВИЯ ТРЕБОВАНИЯМ БЕЗОПАСНОСТИ</w:t>
      </w:r>
    </w:p>
    <w:p w14:paraId="607E7E8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Соответствие оборудования настоящему техническому регламенту Таможенного союза обеспечивается выполнением его требований безопасности непосредственно либо выполнением на добровольной основе требований межгосударственных стандартов, а в случае их отсутствия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настоящего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оборудования для работы во взрывоопасных средах (далее - стандарты).</w:t>
      </w:r>
    </w:p>
    <w:p w14:paraId="6FC89EA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Перечни стандартов, указанных в пункте 1 настоящей статьи, утверждает Комиссия Таможенного союза (далее - Комиссия).</w:t>
      </w:r>
    </w:p>
    <w:p w14:paraId="7E7AC9BF"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6. ПОДТВЕРЖДЕНИЕ СООТВЕТСТВИЯ</w:t>
      </w:r>
    </w:p>
    <w:p w14:paraId="479AB26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Перед выпуском в обращение на единой таможенной территории Таможенного союза оборудование должно быть подвергнуто процедуре подтверждения соответствия требованиям настоящего технического регламента Таможенного союза.</w:t>
      </w:r>
    </w:p>
    <w:p w14:paraId="14B9EEC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Подтверждение соответствия оборудования носит обязательный характер и осуществляется в форме сертификации.</w:t>
      </w:r>
    </w:p>
    <w:p w14:paraId="3C0B3E3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2. Процедуры подтверждения соответствия оборудования установленным в настоящем техническом регламенте Таможенного союза требованиям осуществляются аккредитованными органами по сертификации (оценке (подтверждению) соответствия) 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p w14:paraId="165D79C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Подтверждение соответствия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w:t>
      </w:r>
    </w:p>
    <w:p w14:paraId="1B148B1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в отношении серийно выпускаемого оборудования:</w:t>
      </w:r>
    </w:p>
    <w:p w14:paraId="7E2826F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сертификация оборудования на основе испытаний типового образца в аккредитованной испытательной лаборатории (центре) и анализа состояния производства с последующим инспекционным контролем (схема 1с);</w:t>
      </w:r>
    </w:p>
    <w:p w14:paraId="656B2A5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 отношении ограниченной партии оборудования:</w:t>
      </w:r>
    </w:p>
    <w:p w14:paraId="5B4350F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сертификация партии оборудования на основе испытаний образцов оборудования из этой партии (схема 3с) в аккредитованной испытательной лаборатории (центре);</w:t>
      </w:r>
    </w:p>
    <w:p w14:paraId="408546D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сертификация единиц оборудования на основе испытаний единицы оборудования в аккредитованной испытательной лаборатории (схема 4с).</w:t>
      </w:r>
    </w:p>
    <w:p w14:paraId="53FC0B7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Заявителем при сертификации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075087C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Заявителем при сертификации по схеме 3с,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3775DC4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При проведении сертификации оборудования:</w:t>
      </w:r>
    </w:p>
    <w:p w14:paraId="3F9124E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 изготовитель (уполномоченное изготовителем лицо), импортер предоставляет органу по сертификации (оценке (подтверждению) соответствия) комплект </w:t>
      </w:r>
      <w:r w:rsidRPr="00751FA9">
        <w:rPr>
          <w:rFonts w:ascii="Arial" w:eastAsia="Times New Roman" w:hAnsi="Arial" w:cs="Arial"/>
          <w:color w:val="212529"/>
          <w:lang w:eastAsia="ru-RU"/>
        </w:rPr>
        <w:lastRenderedPageBreak/>
        <w:t>документов на оборудование, подтверждающий соответствие оборудования требованиям взрывобезопасности настоящего технического регламента Таможенного союза, который включает:</w:t>
      </w:r>
    </w:p>
    <w:p w14:paraId="3E409A5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технические условия (при наличии);</w:t>
      </w:r>
    </w:p>
    <w:p w14:paraId="4F6DC3D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эксплуатационные документы;</w:t>
      </w:r>
    </w:p>
    <w:p w14:paraId="40FEC67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перечень стандартов, требованиям которых соответствует данное оборудование, из Перечня стандартов, указанных в пункте 1 статьи 5 настоящего технического регламента Таможенного союза (при их применении изготовителем);</w:t>
      </w:r>
    </w:p>
    <w:p w14:paraId="0911191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пояснительную записку, содержащую описание принятых технических решений и оценку рисков, подтверждающих выполнение требований взрывобезопасности настоящего технического регламента Таможенного союза, если стандарты отсутствуют или не применялись;</w:t>
      </w:r>
    </w:p>
    <w:p w14:paraId="6FFBD72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сертификат соответствия на систему менеджмента качества изготовителя (при наличии);</w:t>
      </w:r>
    </w:p>
    <w:p w14:paraId="2B7ABB0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контракт (договор на поставку) или товаросопроводительную документацию (для партии оборудования);</w:t>
      </w:r>
    </w:p>
    <w:p w14:paraId="1E66DC8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орган по сертификации (оценке (подтверждению) соответствия):</w:t>
      </w:r>
    </w:p>
    <w:p w14:paraId="6B271C1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проводит идентификацию предъявленного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а также положениям, установленным пунктами 8 и 9 статьи 4 настоящего технического регламента Таможенного союза;</w:t>
      </w:r>
    </w:p>
    <w:p w14:paraId="566D20D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организует проведение испытаний образца (образцов) оборудования в аккредитованной испытательной лаборатории (центре) на соответствие требованиям стандартов из Перечня стандартов, указанных в пункте 1 статьи 5 настоящего технического регламента Таможенного союза, и проводит анализ протокола (протоколов) испытаний. В протоколе испытаний указывается перечень технической документации (чертежей средств обеспечения взрывозащиты), подтверждающий соответствие оборудования 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-компонента требованиям настоящего технического регламента Таможенного союза.</w:t>
      </w:r>
    </w:p>
    <w:p w14:paraId="33913EB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При необходимости, вызванной спецификой изготовления и монтажа, указываемой изготовителем технической документации на изготовление или монтаж, допускается проведение испытаний оборудования на месте его изготовления и (или) монтажа.</w:t>
      </w:r>
    </w:p>
    <w:p w14:paraId="661F697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Если стандарты изготовителем не применялись или отсутствуют, то орган по сертификации (оценке (подтверждению) соответствия) проводит подтверждение соответствия оборудования непосредственно требованиям взрывобезопасности настоящего технического регламента Таможенного союза. С этой целью орган по сертификации:</w:t>
      </w:r>
    </w:p>
    <w:p w14:paraId="5E1EC20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 с использованием технической документации и описания принятых технических решений и оценки рисков, подтверждающих выполнение требований взрывобезопасности настоящего технического регламента Таможенного союза, содержащихся в пояснительной записке изготовителя, определяет конкретные требования безопасности для сертифицируемого оборудования;</w:t>
      </w:r>
    </w:p>
    <w:p w14:paraId="5D06ED7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определяет стандарты, устанавливающие методы измерений и испытаний, из Перечня стандартов, указанных в пункте 1 статьи 5 настоящего технического регламента Таможенного союза, или при их отсутствии определяет методики контроля, измерений и испытаний оборудования для подтверждения его соответствия установленным конкретным требованиям;</w:t>
      </w:r>
    </w:p>
    <w:p w14:paraId="6DD10DC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организует проведение испытаний оборудования в аккредитованной испытательной лаборатории (центре);</w:t>
      </w:r>
    </w:p>
    <w:p w14:paraId="080973F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проводит анализ состояния производства изготовителя. При наличии у изготовителя сертифицированной системы менеджмента качества производства или разработки и производства оборудования оценивает возможность данной системы обеспечивать стабильный выпуск сертифицируемого оборудования, соответствующего требованиям настоящего технического регламента;</w:t>
      </w:r>
    </w:p>
    <w:p w14:paraId="6DB19B5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При подтверждении соответствия партии оборудования (единичного оборудования) анализ состояния производства не проводится;</w:t>
      </w:r>
    </w:p>
    <w:p w14:paraId="51A0908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проводит инспекционный контроль (если это предусмотрено схемой сертификации) за сертифицированным оборудованием в течение всего срока действия сертификата соответствия посредством испытаний образцов в аккредитованной испытательной лаборатории (центре) и (или) анализа состояния производства (схема 1с);</w:t>
      </w:r>
    </w:p>
    <w:p w14:paraId="17D548B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выдает сертификат соответствия по единой форме, утвержденной решением Комиссии:</w:t>
      </w:r>
    </w:p>
    <w:p w14:paraId="6C53346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на серийно выпускаемое оборудование со сроком действия не более 5 лет;</w:t>
      </w:r>
    </w:p>
    <w:p w14:paraId="4F0E156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на партию оборудования (единичное оборудование) срок не устанавливается.</w:t>
      </w:r>
    </w:p>
    <w:p w14:paraId="6A58F7D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Сертификат соответствия компонентов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-компонентов) требованиям настоящего технического регламента Таможенного союза выдается по выполнению процедур, указанных в настоящем подпункте, по той же форме.</w:t>
      </w:r>
    </w:p>
    <w:p w14:paraId="7229265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Сертификат соответствия должен содержать в приложении, в том числе, следующую информацию:</w:t>
      </w:r>
    </w:p>
    <w:p w14:paraId="2FB0774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описание конструкции и средств обеспечения взрывозащиты;</w:t>
      </w:r>
    </w:p>
    <w:p w14:paraId="1FDD988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специальные условия применения (если в маркировке взрывозащиты указан знак "X");</w:t>
      </w:r>
    </w:p>
    <w:p w14:paraId="1330EE1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изготовитель (уполномоченное изготовителем лицо), импортер:</w:t>
      </w:r>
    </w:p>
    <w:p w14:paraId="572B0F5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при получении сертификата соответствия наносит единый знак обращения продукции на рынке государств - членов Таможенного союза и регистрационный номер органа по сертификации (оценке (подтверждению) соответствия);</w:t>
      </w:r>
    </w:p>
    <w:p w14:paraId="29F984A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формирует комплект документов на оборудование, в который включает:</w:t>
      </w:r>
    </w:p>
    <w:p w14:paraId="6461FB8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документы на оборудование, приведенные подпункте 1 настоящего пункта;</w:t>
      </w:r>
    </w:p>
    <w:p w14:paraId="1DFAC76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протокол (протоколы) испытаний;</w:t>
      </w:r>
    </w:p>
    <w:p w14:paraId="38C17D9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сертификат соответствия;</w:t>
      </w:r>
    </w:p>
    <w:p w14:paraId="71FBA6E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предпринимает все необходимые меры, чтобы процесс производства был стабильным и обеспечивал соответствие изготавливаемого оборудования требованиям настоящего технического регламента Таможенного союза (схема 1с).</w:t>
      </w:r>
    </w:p>
    <w:p w14:paraId="5E3FBE3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7. В случае внесения изготовителем в конструкцию и (или) техническую документацию, подтверждающую соответствие оборудования и (или)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 xml:space="preserve">-компонента требованиям настоящего технического регламента Таможенного союза, изменений, влияющих на показатели взрывобезопасности оборудования, он представляет в орган по сертификации (оценке (подтверждению) соответствия), выдавший сертификат соответствия, описание изменений, техническую документацию (чертежи средств обеспечения взрывозащиты) с внесенными изменениями и образец для проведения дополнительных испытаний, если орган по сертификации (оценке (подтверждению) соответствия) посчитает недостаточным проведение только экспертизы технической документации с внесенными изменениями для принятия решения о соответствии оборудования и (или)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-компонента настоящему техническому регламенту Таможенного союза с внесенными изменениями.</w:t>
      </w:r>
    </w:p>
    <w:p w14:paraId="4E71486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В этом случае орган по сертификации (оценке (подтверждению) соответствия) проводит экспертизу технической документации (чертежей средств обеспечения взрывозащиты) с внесенными изменениями, а если посчитает это недостаточным, и дополнительные испытания образца. При положительных результатах проведенной работы орган по сертификации (оценке (подтверждению) соответствия) оформляет решение о подтверждении действия сертификата соответствия с учетом внесенных изменений или оформляет новый сертификат соответствия техническому регламенту Таможенного союза, если внесенные изменения требуют рассмотрения оборудования и (или)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-компонента как нового изделия.</w:t>
      </w:r>
    </w:p>
    <w:p w14:paraId="6AF2898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На территории государств - членов Таможенного союза комплект документов, включая документы, подтверждающие соответствие, должен храниться:</w:t>
      </w:r>
    </w:p>
    <w:p w14:paraId="7591F2A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на оборудование - у изготовителя (уполномоченного изготовителем лица) в течение не менее 10 лет со дня снятия (прекращения) с производства этого оборудования;</w:t>
      </w:r>
    </w:p>
    <w:p w14:paraId="7B16D3F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на партию оборудования (единичное изделие) - у импортера, изготовителя или уполномоченного изготовителем лица в течение не менее 10 лет со дня реализации последнего изделия из партии.</w:t>
      </w:r>
    </w:p>
    <w:p w14:paraId="35CDDEA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Документы и материалы, подтверждающие результаты сертификации, хранятся в органе по сертификации, выдавшем сертификат соответствия, в течение не менее 5 лет после окончания срока действия сертификата соответствия.</w:t>
      </w:r>
    </w:p>
    <w:p w14:paraId="35E4851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Комплект документов должен предоставляться органам государственного надзора по их требованию.</w:t>
      </w:r>
    </w:p>
    <w:p w14:paraId="1AD38374"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7. МАРКИРОВКА ЕДИНЫМ ЗНАКОМ ОБРАЩЕНИЯ ПРОДУКЦИИ НА РЫНКЕ ГОСУДАРСТВ - ЧЛЕНОВ ТАМОЖЕННОГО СОЮЗА</w:t>
      </w:r>
    </w:p>
    <w:p w14:paraId="3F66AB6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соответствующее требованиям настоящего технического регламента Таможенного союза и прошедшее процедуру подтверждения соответствия согласно статье 6 настоящего технического регламента Таможенного союза, должно иметь маркировку единым знаком обращения продукции на рынке государств - членов Таможенного союза.</w:t>
      </w:r>
    </w:p>
    <w:p w14:paraId="60CAFD2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Таможенного союза и технических регламентов ЕврАзЭС, распространяющихся на него и предусматривающих нанесение единого знака обращения продукции на рынке государств - членов Таможенного союза.</w:t>
      </w:r>
    </w:p>
    <w:p w14:paraId="665E1CA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Маркировка единым знаком обращения продукции на рынке государств - членов Таможенного союза осуществляется перед выпуском оборудования в обращение на рынке.</w:t>
      </w:r>
    </w:p>
    <w:p w14:paraId="437F077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Единый знак обращения продукции на рынке государств - членов Таможенного союза наносится на каждую единицу оборудования (изделия) любым способом, обеспечивающим четкое и ясное изображение в течение всего срока службы оборудования.</w:t>
      </w:r>
    </w:p>
    <w:p w14:paraId="7B4D57C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Единый знак обращения продукции на рынке государств - членов Таможенного союза наносится на само изделие, а также приводится в прилагаемой к нему технической документации изготовителя.</w:t>
      </w:r>
    </w:p>
    <w:p w14:paraId="612D9CC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Допускается нанесение единого знака обращения продукции на рынке государств - членов Таможенного союза только на упаковку и указание в прилагаемой к нему технической документации изготовителя, если этот знак невозможно нанести непосредственно на оборудование ввиду особенностей конструкции.</w:t>
      </w:r>
    </w:p>
    <w:p w14:paraId="2DE4415B"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СТАТЬЯ 8. ЗАЩИТИТЕЛЬНАЯ ОГОВОРКА</w:t>
      </w:r>
    </w:p>
    <w:p w14:paraId="28AC095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Государства - члены Таможенного союза обязаны предпринять все меры для ограничения, запрета выпуска в обращение оборудования для работы во взрывоопасных средах на единой таможенной территории Таможенного союза, а также изъятия с рынка такого оборудования, не соответствующего требованиям безопасности настоящего технического регламента Таможенного союза.</w:t>
      </w:r>
    </w:p>
    <w:p w14:paraId="6AEF1ACE"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lastRenderedPageBreak/>
        <w:t>ПРИЛОЖЕНИЕ N 1. КЛАССИФИКАЦИЯ ПОКАЗАТЕЛЕЙ, ОПРЕДЕЛЯЮЩИХ ВЗРЫВОБЕЗОПАСНОСТЬ ОБОРУДОВАНИЯ</w:t>
      </w:r>
    </w:p>
    <w:p w14:paraId="71E4469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 Классификация взрывоопасных зон</w:t>
      </w:r>
    </w:p>
    <w:p w14:paraId="5D76304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Классификация взрывоопасных зон применяется в целях выбора оборудования, по его уровню взрывозащиты, обеспечивающему безопасную эксплуатацию такого оборудования в соответствующей взрывоопасной зоне.</w:t>
      </w:r>
    </w:p>
    <w:p w14:paraId="1A27110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 зависимости от частоты и длительности присутствия взрывоопасной газовой или пылевой среды взрывоопасные зоны подразделяются на следующие классы:</w:t>
      </w:r>
    </w:p>
    <w:p w14:paraId="67C3F47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для взрывоопасных газовых сред - классы 0, 1 и 2;</w:t>
      </w:r>
    </w:p>
    <w:p w14:paraId="6386F77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для взрывоопасных пылевых сред - классы 20, 21 и 22.</w:t>
      </w:r>
    </w:p>
    <w:p w14:paraId="4BD04F7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II. Классификация оборудования по группам</w:t>
      </w:r>
    </w:p>
    <w:p w14:paraId="1185942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В зависимости от области применения оборудование подразделяется на следующие группы:</w:t>
      </w:r>
    </w:p>
    <w:p w14:paraId="4C9047D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группы I - оборудование, предназначенное для применения в подземных выработках шахт и их наземных строениях, опасных по рудничному газу и (или) горючей пыли. В зависимости от конструкции оборудование группы I может иметь один из трех уровней взрывозащиты;</w:t>
      </w:r>
    </w:p>
    <w:p w14:paraId="562025F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оборудование группы II - оборудование, предназначенное для применения в местах (кроме подземных выработок шахт и их наземных строений), опасных по взрывоопасным газовым средам. В зависимости от конструкции оборудование группы II может иметь один из трех уровней взрывозащиты. Оборудование группы II может подразделяться на подгруппы IIA, IIB, IIC в зависимости от категории взрывоопасной смеси, для которой оно предназначено;</w:t>
      </w:r>
    </w:p>
    <w:p w14:paraId="2A5D7D6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оборудование группы III - оборудование, предназначенное для применения в местах (кроме подземных выработок шахт и их наземных строений), опасных по взрывоопасным пылевым средам. В зависимости от конструкции может иметь один из трех уровней взрывозащиты. Оборудование группы III может подразделяться на подгруппы IIIA, IIIB, IIIC в зависимости от характеристики взрывоопасной среды, для которой оно предназначено.</w:t>
      </w:r>
    </w:p>
    <w:p w14:paraId="5FA097E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III. Классификация оборудования по уровням взрывозащиты</w:t>
      </w:r>
    </w:p>
    <w:p w14:paraId="2EEF8D2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Оборудование в зависимости от опасности стать источником воспламенения и условий его применения во взрывоопасных средах классифицируется по уровням взрывозащиты:</w:t>
      </w:r>
    </w:p>
    <w:p w14:paraId="3707A32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w:t>
      </w:r>
      <w:proofErr w:type="spellStart"/>
      <w:r w:rsidRPr="00751FA9">
        <w:rPr>
          <w:rFonts w:ascii="Arial" w:eastAsia="Times New Roman" w:hAnsi="Arial" w:cs="Arial"/>
          <w:color w:val="212529"/>
          <w:lang w:eastAsia="ru-RU"/>
        </w:rPr>
        <w:t>особовзрывобезопасный</w:t>
      </w:r>
      <w:proofErr w:type="spellEnd"/>
      <w:r w:rsidRPr="00751FA9">
        <w:rPr>
          <w:rFonts w:ascii="Arial" w:eastAsia="Times New Roman" w:hAnsi="Arial" w:cs="Arial"/>
          <w:color w:val="212529"/>
          <w:lang w:eastAsia="ru-RU"/>
        </w:rPr>
        <w:t>" ("очень высокий");</w:t>
      </w:r>
    </w:p>
    <w:p w14:paraId="3B0BFF8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"взрывобезопасный" ("высокий");</w:t>
      </w:r>
    </w:p>
    <w:p w14:paraId="565642B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3) "повышенная надежность против взрыва" ("повышенный").</w:t>
      </w:r>
    </w:p>
    <w:p w14:paraId="4649750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Уровень взрывозащиты "</w:t>
      </w:r>
      <w:proofErr w:type="spellStart"/>
      <w:r w:rsidRPr="00751FA9">
        <w:rPr>
          <w:rFonts w:ascii="Arial" w:eastAsia="Times New Roman" w:hAnsi="Arial" w:cs="Arial"/>
          <w:color w:val="212529"/>
          <w:lang w:eastAsia="ru-RU"/>
        </w:rPr>
        <w:t>особовзрывобезопасный</w:t>
      </w:r>
      <w:proofErr w:type="spellEnd"/>
      <w:r w:rsidRPr="00751FA9">
        <w:rPr>
          <w:rFonts w:ascii="Arial" w:eastAsia="Times New Roman" w:hAnsi="Arial" w:cs="Arial"/>
          <w:color w:val="212529"/>
          <w:lang w:eastAsia="ru-RU"/>
        </w:rPr>
        <w:t>" ("очень высокий") распространяется на оборудование, которое предназначено для функционирования в соответствии с установленными изготовителем эксплуатационными параметрами, обеспечивает необходимый уровень взрывозащиты даже при маловероятных отказах, остается функционирующим при наличии взрывоопасной среды и в котором при отказе одного средства защиты необходимый уровень взрывозащиты обеспечивается вторым независимым средством защиты или необходимый уровень взрывозащиты обеспечивается при двух отказах средств защиты, происходящих независимо друг от друга.</w:t>
      </w:r>
    </w:p>
    <w:p w14:paraId="0B1BDA5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данного уровня взрывозащиты предназначено для применения в подземных выработках шахт и их наземных строениях, в которых существует опасность присутствия рудничного газа и (или) горючей пыли (оборудование группы I), либо на объектах и (или) их участках (оборудование групп II и III), на которых взрывоопасная среда, создаваемая смесями с воздухом горючих веществ в виде газа, пара, тумана или пыли, волокон, летучих веществ присутствует постоянно в течение продолжительных периодов или часто.</w:t>
      </w:r>
    </w:p>
    <w:p w14:paraId="469365E3"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Уровень взрывозащиты "взрывобезопасный" ("высокий")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необходимый уровень взрывозащиты и функционирование в нормальном режиме работы при одном признанном вероятном повреждении.</w:t>
      </w:r>
    </w:p>
    <w:p w14:paraId="1FB8971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группы I данного уровня взрывозащиты должно иметь возможность безопасного отключения при достижении регламентируемой концентрации рудничного газа в окружающей среде.</w:t>
      </w:r>
    </w:p>
    <w:p w14:paraId="0789679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данного уровня взрывозащиты предназначено для применения в подземных выработках шахт и их наземных строениях, в которых существует вероятность присутствия рудничного газа и (или) горючей пыли (оборудование группы I), либо на объектах и (или) их участках (оборудование групп II и III), на которых вероятно возникновение взрывоопасной среды в виде газа, пара, тумана, пыли, волокон или летучих частиц.</w:t>
      </w:r>
    </w:p>
    <w:p w14:paraId="3D56ABB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Уровень взрывозащиты "повышенная надежность против взрыва" ("повышенный")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функционирование только в оговоренном изготовителем нормальном режиме работы.</w:t>
      </w:r>
    </w:p>
    <w:p w14:paraId="41078D3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Оборудование группы I данного уровня взрывозащиты иметь возможность безопасного отключения при достижении регламентируемой концентрации рудничного газа в окружающей среде.</w:t>
      </w:r>
    </w:p>
    <w:p w14:paraId="59C12DC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Оборудование данного уровня взрывозащиты предназначено для применения в подземных выработках шахт и их наземных строениях (оборудование группы I) либо на объектах и (или) их участках (оборудование групп II и III), на которых при нормальных условиях эксплуатации присутствие рудничного газа и (или) горючей пыли или взрывоопасной среды, создаваемой смесями с воздухом горючих </w:t>
      </w:r>
      <w:r w:rsidRPr="00751FA9">
        <w:rPr>
          <w:rFonts w:ascii="Arial" w:eastAsia="Times New Roman" w:hAnsi="Arial" w:cs="Arial"/>
          <w:color w:val="212529"/>
          <w:lang w:eastAsia="ru-RU"/>
        </w:rPr>
        <w:lastRenderedPageBreak/>
        <w:t>веществ в виде газа, пара, тумана или пыли, волокон, летучих веществ, маловероятно, а если взрывоопасная среда существует, то только в течение короткого промежутка времени.</w:t>
      </w:r>
    </w:p>
    <w:p w14:paraId="6305167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IV. Виды взрывозащиты оборудования</w:t>
      </w:r>
    </w:p>
    <w:p w14:paraId="553C76E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В зависимости от предусмотренных специальных мер по предотвращению воспламенения окружающей взрывоопасной среды оборудование может иметь один вид или сочетание нескольких видов взрывозащиты:</w:t>
      </w:r>
    </w:p>
    <w:p w14:paraId="0BAB40C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в отношении электрического оборудования, предназначенного для работы во взрывоопасных газовых средах:</w:t>
      </w:r>
    </w:p>
    <w:p w14:paraId="43E20F7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"d" - взрывонепроницаемая оболочка;</w:t>
      </w:r>
    </w:p>
    <w:p w14:paraId="5277AF3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"e" - повышенная защита;</w:t>
      </w:r>
    </w:p>
    <w:p w14:paraId="5489447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 ("</w:t>
      </w:r>
      <w:proofErr w:type="spellStart"/>
      <w:r w:rsidRPr="00751FA9">
        <w:rPr>
          <w:rFonts w:ascii="Arial" w:eastAsia="Times New Roman" w:hAnsi="Arial" w:cs="Arial"/>
          <w:color w:val="212529"/>
          <w:lang w:eastAsia="ru-RU"/>
        </w:rPr>
        <w:t>ia</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ib</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ic</w:t>
      </w:r>
      <w:proofErr w:type="spellEnd"/>
      <w:r w:rsidRPr="00751FA9">
        <w:rPr>
          <w:rFonts w:ascii="Arial" w:eastAsia="Times New Roman" w:hAnsi="Arial" w:cs="Arial"/>
          <w:color w:val="212529"/>
          <w:lang w:eastAsia="ru-RU"/>
        </w:rPr>
        <w:t>") - </w:t>
      </w:r>
      <w:proofErr w:type="spellStart"/>
      <w:r w:rsidRPr="00751FA9">
        <w:rPr>
          <w:rFonts w:ascii="Arial" w:eastAsia="Times New Roman" w:hAnsi="Arial" w:cs="Arial"/>
          <w:color w:val="212529"/>
          <w:lang w:eastAsia="ru-RU"/>
        </w:rPr>
        <w:t>искробезопасность</w:t>
      </w:r>
      <w:proofErr w:type="spellEnd"/>
      <w:r w:rsidRPr="00751FA9">
        <w:rPr>
          <w:rFonts w:ascii="Arial" w:eastAsia="Times New Roman" w:hAnsi="Arial" w:cs="Arial"/>
          <w:color w:val="212529"/>
          <w:lang w:eastAsia="ru-RU"/>
        </w:rPr>
        <w:t> (искробезопасная электрическая цепь);</w:t>
      </w:r>
    </w:p>
    <w:p w14:paraId="31147C9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"m" ("</w:t>
      </w:r>
      <w:proofErr w:type="spellStart"/>
      <w:r w:rsidRPr="00751FA9">
        <w:rPr>
          <w:rFonts w:ascii="Arial" w:eastAsia="Times New Roman" w:hAnsi="Arial" w:cs="Arial"/>
          <w:color w:val="212529"/>
          <w:lang w:eastAsia="ru-RU"/>
        </w:rPr>
        <w:t>ma</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mb</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mc</w:t>
      </w:r>
      <w:proofErr w:type="spellEnd"/>
      <w:r w:rsidRPr="00751FA9">
        <w:rPr>
          <w:rFonts w:ascii="Arial" w:eastAsia="Times New Roman" w:hAnsi="Arial" w:cs="Arial"/>
          <w:color w:val="212529"/>
          <w:lang w:eastAsia="ru-RU"/>
        </w:rPr>
        <w:t>") - герметизация компаундом;</w:t>
      </w:r>
    </w:p>
    <w:p w14:paraId="79FDAF1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nA</w:t>
      </w:r>
      <w:proofErr w:type="spellEnd"/>
      <w:r w:rsidRPr="00751FA9">
        <w:rPr>
          <w:rFonts w:ascii="Arial" w:eastAsia="Times New Roman" w:hAnsi="Arial" w:cs="Arial"/>
          <w:color w:val="212529"/>
          <w:lang w:eastAsia="ru-RU"/>
        </w:rPr>
        <w:t>" - </w:t>
      </w:r>
      <w:proofErr w:type="spellStart"/>
      <w:r w:rsidRPr="00751FA9">
        <w:rPr>
          <w:rFonts w:ascii="Arial" w:eastAsia="Times New Roman" w:hAnsi="Arial" w:cs="Arial"/>
          <w:color w:val="212529"/>
          <w:lang w:eastAsia="ru-RU"/>
        </w:rPr>
        <w:t>неискрящее</w:t>
      </w:r>
      <w:proofErr w:type="spellEnd"/>
      <w:r w:rsidRPr="00751FA9">
        <w:rPr>
          <w:rFonts w:ascii="Arial" w:eastAsia="Times New Roman" w:hAnsi="Arial" w:cs="Arial"/>
          <w:color w:val="212529"/>
          <w:lang w:eastAsia="ru-RU"/>
        </w:rPr>
        <w:t> оборудование;</w:t>
      </w:r>
    </w:p>
    <w:p w14:paraId="1433ACB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nC</w:t>
      </w:r>
      <w:proofErr w:type="spellEnd"/>
      <w:r w:rsidRPr="00751FA9">
        <w:rPr>
          <w:rFonts w:ascii="Arial" w:eastAsia="Times New Roman" w:hAnsi="Arial" w:cs="Arial"/>
          <w:color w:val="212529"/>
          <w:lang w:eastAsia="ru-RU"/>
        </w:rPr>
        <w:t>" - контактное устройство во взрывонепроницаемой оболочке, или герметично запаянное устройство, или </w:t>
      </w:r>
      <w:proofErr w:type="spellStart"/>
      <w:r w:rsidRPr="00751FA9">
        <w:rPr>
          <w:rFonts w:ascii="Arial" w:eastAsia="Times New Roman" w:hAnsi="Arial" w:cs="Arial"/>
          <w:color w:val="212529"/>
          <w:lang w:eastAsia="ru-RU"/>
        </w:rPr>
        <w:t>неподжигающий</w:t>
      </w:r>
      <w:proofErr w:type="spellEnd"/>
      <w:r w:rsidRPr="00751FA9">
        <w:rPr>
          <w:rFonts w:ascii="Arial" w:eastAsia="Times New Roman" w:hAnsi="Arial" w:cs="Arial"/>
          <w:color w:val="212529"/>
          <w:lang w:eastAsia="ru-RU"/>
        </w:rPr>
        <w:t> компонент, или герметичное устройство;</w:t>
      </w:r>
    </w:p>
    <w:p w14:paraId="1D76103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nR</w:t>
      </w:r>
      <w:proofErr w:type="spellEnd"/>
      <w:r w:rsidRPr="00751FA9">
        <w:rPr>
          <w:rFonts w:ascii="Arial" w:eastAsia="Times New Roman" w:hAnsi="Arial" w:cs="Arial"/>
          <w:color w:val="212529"/>
          <w:lang w:eastAsia="ru-RU"/>
        </w:rPr>
        <w:t>" - оболочка с ограниченным пропуском газов;</w:t>
      </w:r>
    </w:p>
    <w:p w14:paraId="555A0EF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nL</w:t>
      </w:r>
      <w:proofErr w:type="spellEnd"/>
      <w:r w:rsidRPr="00751FA9">
        <w:rPr>
          <w:rFonts w:ascii="Arial" w:eastAsia="Times New Roman" w:hAnsi="Arial" w:cs="Arial"/>
          <w:color w:val="212529"/>
          <w:lang w:eastAsia="ru-RU"/>
        </w:rPr>
        <w:t>" - оборудование, содержащее электрические цепи с ограниченной энергией;</w:t>
      </w:r>
    </w:p>
    <w:p w14:paraId="7AFCD78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nZ</w:t>
      </w:r>
      <w:proofErr w:type="spellEnd"/>
      <w:r w:rsidRPr="00751FA9">
        <w:rPr>
          <w:rFonts w:ascii="Arial" w:eastAsia="Times New Roman" w:hAnsi="Arial" w:cs="Arial"/>
          <w:color w:val="212529"/>
          <w:lang w:eastAsia="ru-RU"/>
        </w:rPr>
        <w:t>" - оболочка под избыточным давлением;</w:t>
      </w:r>
    </w:p>
    <w:p w14:paraId="50E5EA1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"o" - масляное заполнение оболочки;</w:t>
      </w:r>
    </w:p>
    <w:p w14:paraId="1F51E16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"p" ("</w:t>
      </w:r>
      <w:proofErr w:type="spellStart"/>
      <w:r w:rsidRPr="00751FA9">
        <w:rPr>
          <w:rFonts w:ascii="Arial" w:eastAsia="Times New Roman" w:hAnsi="Arial" w:cs="Arial"/>
          <w:color w:val="212529"/>
          <w:lang w:eastAsia="ru-RU"/>
        </w:rPr>
        <w:t>px</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py</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pz</w:t>
      </w:r>
      <w:proofErr w:type="spellEnd"/>
      <w:r w:rsidRPr="00751FA9">
        <w:rPr>
          <w:rFonts w:ascii="Arial" w:eastAsia="Times New Roman" w:hAnsi="Arial" w:cs="Arial"/>
          <w:color w:val="212529"/>
          <w:lang w:eastAsia="ru-RU"/>
        </w:rPr>
        <w:t>") - заполнение или продувка оболочки под избыточным давлением;</w:t>
      </w:r>
    </w:p>
    <w:p w14:paraId="2340E19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"q" - кварцевое заполнение оболочки;</w:t>
      </w:r>
    </w:p>
    <w:p w14:paraId="0B1C42E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"s" - специальный вид взрывозащиты;</w:t>
      </w:r>
    </w:p>
    <w:p w14:paraId="563EEC2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 отношении электрического оборудования, предназначенного для работы во взрывоопасных пылевых средах:</w:t>
      </w:r>
    </w:p>
    <w:p w14:paraId="46F6B7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"t" ("</w:t>
      </w:r>
      <w:proofErr w:type="spellStart"/>
      <w:r w:rsidRPr="00751FA9">
        <w:rPr>
          <w:rFonts w:ascii="Arial" w:eastAsia="Times New Roman" w:hAnsi="Arial" w:cs="Arial"/>
          <w:color w:val="212529"/>
          <w:lang w:eastAsia="ru-RU"/>
        </w:rPr>
        <w:t>ta</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tb</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tc</w:t>
      </w:r>
      <w:proofErr w:type="spellEnd"/>
      <w:r w:rsidRPr="00751FA9">
        <w:rPr>
          <w:rFonts w:ascii="Arial" w:eastAsia="Times New Roman" w:hAnsi="Arial" w:cs="Arial"/>
          <w:color w:val="212529"/>
          <w:lang w:eastAsia="ru-RU"/>
        </w:rPr>
        <w:t>") - защита оболочкой;</w:t>
      </w:r>
    </w:p>
    <w:p w14:paraId="01F3952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"i" ("</w:t>
      </w:r>
      <w:proofErr w:type="spellStart"/>
      <w:r w:rsidRPr="00751FA9">
        <w:rPr>
          <w:rFonts w:ascii="Arial" w:eastAsia="Times New Roman" w:hAnsi="Arial" w:cs="Arial"/>
          <w:color w:val="212529"/>
          <w:lang w:eastAsia="ru-RU"/>
        </w:rPr>
        <w:t>ia</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ib</w:t>
      </w:r>
      <w:proofErr w:type="spellEnd"/>
      <w:r w:rsidRPr="00751FA9">
        <w:rPr>
          <w:rFonts w:ascii="Arial" w:eastAsia="Times New Roman" w:hAnsi="Arial" w:cs="Arial"/>
          <w:color w:val="212529"/>
          <w:lang w:eastAsia="ru-RU"/>
        </w:rPr>
        <w:t>") - </w:t>
      </w:r>
      <w:proofErr w:type="spellStart"/>
      <w:r w:rsidRPr="00751FA9">
        <w:rPr>
          <w:rFonts w:ascii="Arial" w:eastAsia="Times New Roman" w:hAnsi="Arial" w:cs="Arial"/>
          <w:color w:val="212529"/>
          <w:lang w:eastAsia="ru-RU"/>
        </w:rPr>
        <w:t>искробезопасность</w:t>
      </w:r>
      <w:proofErr w:type="spellEnd"/>
      <w:r w:rsidRPr="00751FA9">
        <w:rPr>
          <w:rFonts w:ascii="Arial" w:eastAsia="Times New Roman" w:hAnsi="Arial" w:cs="Arial"/>
          <w:color w:val="212529"/>
          <w:lang w:eastAsia="ru-RU"/>
        </w:rPr>
        <w:t> (искробезопасная электрическая цепь);</w:t>
      </w:r>
    </w:p>
    <w:p w14:paraId="78AD6AD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"m" ("</w:t>
      </w:r>
      <w:proofErr w:type="spellStart"/>
      <w:r w:rsidRPr="00751FA9">
        <w:rPr>
          <w:rFonts w:ascii="Arial" w:eastAsia="Times New Roman" w:hAnsi="Arial" w:cs="Arial"/>
          <w:color w:val="212529"/>
          <w:lang w:eastAsia="ru-RU"/>
        </w:rPr>
        <w:t>ma</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mb</w:t>
      </w:r>
      <w:proofErr w:type="spellEnd"/>
      <w:r w:rsidRPr="00751FA9">
        <w:rPr>
          <w:rFonts w:ascii="Arial" w:eastAsia="Times New Roman" w:hAnsi="Arial" w:cs="Arial"/>
          <w:color w:val="212529"/>
          <w:lang w:eastAsia="ru-RU"/>
        </w:rPr>
        <w:t>", "</w:t>
      </w:r>
      <w:proofErr w:type="spellStart"/>
      <w:r w:rsidRPr="00751FA9">
        <w:rPr>
          <w:rFonts w:ascii="Arial" w:eastAsia="Times New Roman" w:hAnsi="Arial" w:cs="Arial"/>
          <w:color w:val="212529"/>
          <w:lang w:eastAsia="ru-RU"/>
        </w:rPr>
        <w:t>mc</w:t>
      </w:r>
      <w:proofErr w:type="spellEnd"/>
      <w:r w:rsidRPr="00751FA9">
        <w:rPr>
          <w:rFonts w:ascii="Arial" w:eastAsia="Times New Roman" w:hAnsi="Arial" w:cs="Arial"/>
          <w:color w:val="212529"/>
          <w:lang w:eastAsia="ru-RU"/>
        </w:rPr>
        <w:t>") - герметизация компаундом;</w:t>
      </w:r>
    </w:p>
    <w:p w14:paraId="2FE9392A"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"p" - заполнение или продувка оболочки под избыточным давлением;</w:t>
      </w:r>
    </w:p>
    <w:p w14:paraId="2142D68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"s" - специальный вид взрывозащиты;</w:t>
      </w:r>
    </w:p>
    <w:p w14:paraId="1C2BC8F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в отношении неэлектрического оборудования, предназначенного для работы во взрывоопасных средах:</w:t>
      </w:r>
    </w:p>
    <w:p w14:paraId="56C964C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"c" - конструкционная безопасность;</w:t>
      </w:r>
    </w:p>
    <w:p w14:paraId="072AFC5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"b" - контроль источника воспламенения;</w:t>
      </w:r>
    </w:p>
    <w:p w14:paraId="17200A6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"k" - защита жидкостным погружением;</w:t>
      </w:r>
    </w:p>
    <w:p w14:paraId="433BAEA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"d" - защита взрывонепроницаемой оболочкой;</w:t>
      </w:r>
    </w:p>
    <w:p w14:paraId="63A79D45"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w:t>
      </w:r>
      <w:proofErr w:type="spellStart"/>
      <w:r w:rsidRPr="00751FA9">
        <w:rPr>
          <w:rFonts w:ascii="Arial" w:eastAsia="Times New Roman" w:hAnsi="Arial" w:cs="Arial"/>
          <w:color w:val="212529"/>
          <w:lang w:eastAsia="ru-RU"/>
        </w:rPr>
        <w:t>fr</w:t>
      </w:r>
      <w:proofErr w:type="spellEnd"/>
      <w:r w:rsidRPr="00751FA9">
        <w:rPr>
          <w:rFonts w:ascii="Arial" w:eastAsia="Times New Roman" w:hAnsi="Arial" w:cs="Arial"/>
          <w:color w:val="212529"/>
          <w:lang w:eastAsia="ru-RU"/>
        </w:rPr>
        <w:t>" - защита оболочкой с ограниченным пропуском газов;</w:t>
      </w:r>
    </w:p>
    <w:p w14:paraId="30495C26"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"p" - защита повышенным давлением;</w:t>
      </w:r>
    </w:p>
    <w:p w14:paraId="0960EFD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иные признанные виды взрывозащиты.</w:t>
      </w:r>
    </w:p>
    <w:p w14:paraId="66DE541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Виды взрывозащиты оборудования определяются следующими специальными мерами, предусмотренными в оборудовании различных уровней взрывозащиты с целью предотвращения воспламенения окружающей взрывоопасной среды:</w:t>
      </w:r>
    </w:p>
    <w:p w14:paraId="7A4BC9C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взрывонепроницаемая оболочка "d" - вид взрывозащиты оборудования, при котором его части, способные воспламенить взрывоопасную газовую среду, заключены в оболочку, способную выдерживать давление взрыва взрывоопасной смеси внутри нее и предотвращать распространение взрыва в окружающую взрывоопасную среду;</w:t>
      </w:r>
    </w:p>
    <w:p w14:paraId="488964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защита оболочкой "t" - вид взрывозащиты, при котором оборудование защищено оболочкой, обеспечивающей защиту от проникновения пыли, и средствами по ограничению температуры поверхности;</w:t>
      </w:r>
    </w:p>
    <w:p w14:paraId="59EA610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повышенная защита вида "e" - вид взрывозащиты, при котором используются дополнительные меры против возможного превышения допустимой температуры, а также возникновения искрения в нормальном или в указанном (аварийном) режиме работы;</w:t>
      </w:r>
    </w:p>
    <w:p w14:paraId="0F99367E"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w:t>
      </w:r>
      <w:proofErr w:type="spellStart"/>
      <w:r w:rsidRPr="00751FA9">
        <w:rPr>
          <w:rFonts w:ascii="Arial" w:eastAsia="Times New Roman" w:hAnsi="Arial" w:cs="Arial"/>
          <w:color w:val="212529"/>
          <w:lang w:eastAsia="ru-RU"/>
        </w:rPr>
        <w:t>искробезопасность</w:t>
      </w:r>
      <w:proofErr w:type="spellEnd"/>
      <w:r w:rsidRPr="00751FA9">
        <w:rPr>
          <w:rFonts w:ascii="Arial" w:eastAsia="Times New Roman" w:hAnsi="Arial" w:cs="Arial"/>
          <w:color w:val="212529"/>
          <w:lang w:eastAsia="ru-RU"/>
        </w:rPr>
        <w:t> (искробезопасная электрическая цепь) "i" - вид взрывозащиты, основанный на ограничении электрической энергии (мощности) в электрическом разряде и температуры элементов электрооборудования до значения ниже уровня, вызывающего воспламенение от искрения или теплового воздействия;</w:t>
      </w:r>
    </w:p>
    <w:p w14:paraId="03CC374D"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герметизация компаундом "m" - вид взрывозащиты, при котором части оборудования, способные воспламенять взрывоопасную среду за счет искрения или нагрева, заключаются в компаунд для исключения воспламенения взрывоопасной среды при эксплуатации или монтаже;</w:t>
      </w:r>
    </w:p>
    <w:p w14:paraId="4C7228F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6) защита вида "n" - вид взрывозащиты, при котором принимаются дополнительные меры защиты, исключающие воспламенение окружающей </w:t>
      </w:r>
      <w:r w:rsidRPr="00751FA9">
        <w:rPr>
          <w:rFonts w:ascii="Arial" w:eastAsia="Times New Roman" w:hAnsi="Arial" w:cs="Arial"/>
          <w:color w:val="212529"/>
          <w:lang w:eastAsia="ru-RU"/>
        </w:rPr>
        <w:lastRenderedPageBreak/>
        <w:t>взрывоопасной газовой среды в нормальном и указанном (аварийном) режимах работы электрооборудования;</w:t>
      </w:r>
    </w:p>
    <w:p w14:paraId="5299603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7) масляное заполнение оболочки "o" - вид взрывозащиты, при котором оборудование или части оборудования погружаются в защитную жидкость, исключающую возможность воспламенения взрывоопасной газовой среды, которая может присутствовать над жидкостью или снаружи оболочки;</w:t>
      </w:r>
    </w:p>
    <w:p w14:paraId="610D26C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8) заполнение или продувка оболочки под избыточным давлением "p" - вид взрывозащиты, исключающий попадание внешней среды в оболочку или помещение за счет наличия в них защитного газа под давлением, превышающим давление внешней среды;</w:t>
      </w:r>
    </w:p>
    <w:p w14:paraId="509653DF"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9) кварцевое заполнение оболочки "q" - вид взрывозащиты, при котором части, способные воспламенять взрывоопасную среду, фиксируются в определенном положении и полностью окружены заполнителем, предотвращающим воспламенение внешней окружающей взрывоопасной среды;</w:t>
      </w:r>
    </w:p>
    <w:p w14:paraId="321C8434"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10) специальный вид взрывозащиты "s" - вид взрывозащиты, основанный на мерах защиты, отличных от мер защиты, предусмотренных подпунктами </w:t>
      </w:r>
      <w:proofErr w:type="gramStart"/>
      <w:r w:rsidRPr="00751FA9">
        <w:rPr>
          <w:rFonts w:ascii="Arial" w:eastAsia="Times New Roman" w:hAnsi="Arial" w:cs="Arial"/>
          <w:color w:val="212529"/>
          <w:lang w:eastAsia="ru-RU"/>
        </w:rPr>
        <w:t>1 - 9</w:t>
      </w:r>
      <w:proofErr w:type="gramEnd"/>
      <w:r w:rsidRPr="00751FA9">
        <w:rPr>
          <w:rFonts w:ascii="Arial" w:eastAsia="Times New Roman" w:hAnsi="Arial" w:cs="Arial"/>
          <w:color w:val="212529"/>
          <w:lang w:eastAsia="ru-RU"/>
        </w:rPr>
        <w:t xml:space="preserve"> настоящего пункта, но признанных достаточными для обеспечения взрывозащиты во время оценки или испытаний;</w:t>
      </w:r>
    </w:p>
    <w:p w14:paraId="0B0891D7"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11) конструкционная безопасность "c" - вид взрывозащиты, при котором принимаются дополнительные меры защиты, исключающие возможность воспламенения окружающей взрывоопасной среды от нагретых поверхностей, искр и адиабатического сжатия, создаваемых подвижными частями оборудования;</w:t>
      </w:r>
    </w:p>
    <w:p w14:paraId="62CF9B8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12) контроль источника воспламенения "b" - вид взрывозащиты, предусматривающий установку в неэлектрическом оборудовании устройства, которое исключает образование источника воспламенения и посредством которого внутренние встроенные датчики контролируют параметры элементов оборудования и вызывают срабатывание автоматических защитных устройств или сигнализаторов;</w:t>
      </w:r>
    </w:p>
    <w:p w14:paraId="518D78C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13) защита жидкостным погружением "k" - вид взрывозащиты, при котором потенциальные источники воспламенения являются безопасными или отделены от взрывоопасной среды путем полного или частичного погружения в защитную жидкость, когда опасные поверхности постоянно покрыты защитной жидкостью таким образом, чтобы взрывоопасная среда, которая может находиться выше уровня жидкости или снаружи оболочки оборудования, не могла быть воспламенена;</w:t>
      </w:r>
    </w:p>
    <w:p w14:paraId="3B5E7C9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14) защита оболочкой с ограниченным пропуском газов "</w:t>
      </w:r>
      <w:proofErr w:type="spellStart"/>
      <w:r w:rsidRPr="00751FA9">
        <w:rPr>
          <w:rFonts w:ascii="Arial" w:eastAsia="Times New Roman" w:hAnsi="Arial" w:cs="Arial"/>
          <w:color w:val="212529"/>
          <w:lang w:eastAsia="ru-RU"/>
        </w:rPr>
        <w:t>fr</w:t>
      </w:r>
      <w:proofErr w:type="spellEnd"/>
      <w:r w:rsidRPr="00751FA9">
        <w:rPr>
          <w:rFonts w:ascii="Arial" w:eastAsia="Times New Roman" w:hAnsi="Arial" w:cs="Arial"/>
          <w:color w:val="212529"/>
          <w:lang w:eastAsia="ru-RU"/>
        </w:rPr>
        <w:t>" - вид взрывозащиты, при котором посредством оболочки ограничено поступление окружающей взрывоопасной среды в оболочку до приемлемого низкого уровня, при котором концентрация взрывоопасной среды в оболочке ниже нижнего концентрационного предела распространения пламени.</w:t>
      </w:r>
    </w:p>
    <w:p w14:paraId="32DED66B"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V. Классификация оборудования по температурным классам</w:t>
      </w:r>
    </w:p>
    <w:p w14:paraId="29D4A2B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lastRenderedPageBreak/>
        <w:t>В зависимости от наибольшей допустимой температуры поверхности оборудование группы II подразделяется на следующие температурные классы:</w:t>
      </w:r>
    </w:p>
    <w:p w14:paraId="5D73D44C"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1) Т1 - 450 градусов Цельсия;</w:t>
      </w:r>
    </w:p>
    <w:p w14:paraId="3FA444D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2) Т2 - 300 градусов Цельсия;</w:t>
      </w:r>
    </w:p>
    <w:p w14:paraId="1BF104A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3) Т3 - 200 градусов Цельсия;</w:t>
      </w:r>
    </w:p>
    <w:p w14:paraId="084B7440"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4) Т4 - 135 градусов Цельсия;</w:t>
      </w:r>
    </w:p>
    <w:p w14:paraId="51B773F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5) Т5 - 100 градусов Цельсия;</w:t>
      </w:r>
    </w:p>
    <w:p w14:paraId="05E8DE31"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6) Т6 - 85 градусов Цельсия.</w:t>
      </w:r>
    </w:p>
    <w:p w14:paraId="51A0C342"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ПРИЛОЖЕНИЕ N 2. ИЗОБРАЖЕНИЕ СПЕЦИАЛЬНОГО ЗНАКА ВЗРЫВОБЕЗОПАСНОСТИ</w:t>
      </w:r>
    </w:p>
    <w:p w14:paraId="1F6FA36E" w14:textId="52EA60A6" w:rsidR="00751FA9" w:rsidRPr="00751FA9" w:rsidRDefault="00751FA9" w:rsidP="00751FA9">
      <w:pPr>
        <w:spacing w:after="100" w:afterAutospacing="1"/>
        <w:jc w:val="center"/>
        <w:rPr>
          <w:rFonts w:ascii="Arial" w:eastAsia="Times New Roman" w:hAnsi="Arial" w:cs="Arial"/>
          <w:color w:val="212529"/>
          <w:lang w:eastAsia="ru-RU"/>
        </w:rPr>
      </w:pPr>
      <w:r w:rsidRPr="00751FA9">
        <w:rPr>
          <w:rFonts w:ascii="Arial" w:eastAsia="Times New Roman" w:hAnsi="Arial" w:cs="Arial"/>
          <w:color w:val="212529"/>
          <w:lang w:eastAsia="ru-RU"/>
        </w:rPr>
        <w:fldChar w:fldCharType="begin"/>
      </w:r>
      <w:r w:rsidRPr="00751FA9">
        <w:rPr>
          <w:rFonts w:ascii="Arial" w:eastAsia="Times New Roman" w:hAnsi="Arial" w:cs="Arial"/>
          <w:color w:val="212529"/>
          <w:lang w:eastAsia="ru-RU"/>
        </w:rPr>
        <w:instrText xml:space="preserve"> INCLUDEPICTURE "https://mobile.olimpoks.ru/Prepare/Doc/1179/18/7b69404b-0dce-42f8-a0ec-a47564f1ae0d/i/e2eefaa2-e061-4e39-8e0d-7c3c8271bdb4.png" \* MERGEFORMATINET </w:instrText>
      </w:r>
      <w:r w:rsidRPr="00751FA9">
        <w:rPr>
          <w:rFonts w:ascii="Arial" w:eastAsia="Times New Roman" w:hAnsi="Arial" w:cs="Arial"/>
          <w:color w:val="212529"/>
          <w:lang w:eastAsia="ru-RU"/>
        </w:rPr>
        <w:fldChar w:fldCharType="separate"/>
      </w:r>
      <w:r w:rsidRPr="00751FA9">
        <w:rPr>
          <w:rFonts w:ascii="Arial" w:eastAsia="Times New Roman" w:hAnsi="Arial" w:cs="Arial"/>
          <w:noProof/>
          <w:color w:val="212529"/>
          <w:lang w:eastAsia="ru-RU"/>
        </w:rPr>
        <w:drawing>
          <wp:inline distT="0" distB="0" distL="0" distR="0" wp14:anchorId="136F1030" wp14:editId="79F8A54C">
            <wp:extent cx="5092065" cy="335534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2065" cy="3355340"/>
                    </a:xfrm>
                    <a:prstGeom prst="rect">
                      <a:avLst/>
                    </a:prstGeom>
                    <a:noFill/>
                    <a:ln>
                      <a:noFill/>
                    </a:ln>
                  </pic:spPr>
                </pic:pic>
              </a:graphicData>
            </a:graphic>
          </wp:inline>
        </w:drawing>
      </w:r>
      <w:r w:rsidRPr="00751FA9">
        <w:rPr>
          <w:rFonts w:ascii="Arial" w:eastAsia="Times New Roman" w:hAnsi="Arial" w:cs="Arial"/>
          <w:color w:val="212529"/>
          <w:lang w:eastAsia="ru-RU"/>
        </w:rPr>
        <w:fldChar w:fldCharType="end"/>
      </w:r>
    </w:p>
    <w:p w14:paraId="18DD6E62"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Описание изображения специального знака взрывобезопасности</w:t>
      </w:r>
    </w:p>
    <w:p w14:paraId="01E05AA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Изображение специального знака взрывобезопасности представляет собой сочетание двух стилизованных букв латинского алфавита "E" и "x", высота буквы "x" составляет 5/9 высоты буквы "E", вписанных в прямоугольник на светлом (рис. 1) или на контрастном фоне (рис. 2), с соотношением высоты к ширине 11/8.</w:t>
      </w:r>
    </w:p>
    <w:p w14:paraId="17028339" w14:textId="77777777" w:rsidR="00751FA9" w:rsidRPr="00751FA9" w:rsidRDefault="00751FA9" w:rsidP="00751FA9">
      <w:pPr>
        <w:spacing w:after="100" w:afterAutospacing="1"/>
        <w:rPr>
          <w:rFonts w:ascii="Arial" w:eastAsia="Times New Roman" w:hAnsi="Arial" w:cs="Arial"/>
          <w:color w:val="212529"/>
          <w:lang w:eastAsia="ru-RU"/>
        </w:rPr>
      </w:pP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 расшифровывается как взрывозащита (</w:t>
      </w:r>
      <w:proofErr w:type="spellStart"/>
      <w:r w:rsidRPr="00751FA9">
        <w:rPr>
          <w:rFonts w:ascii="Arial" w:eastAsia="Times New Roman" w:hAnsi="Arial" w:cs="Arial"/>
          <w:color w:val="212529"/>
          <w:lang w:eastAsia="ru-RU"/>
        </w:rPr>
        <w:t>Explosion-proof</w:t>
      </w:r>
      <w:proofErr w:type="spellEnd"/>
      <w:r w:rsidRPr="00751FA9">
        <w:rPr>
          <w:rFonts w:ascii="Arial" w:eastAsia="Times New Roman" w:hAnsi="Arial" w:cs="Arial"/>
          <w:color w:val="212529"/>
          <w:lang w:eastAsia="ru-RU"/>
        </w:rPr>
        <w:t>).</w:t>
      </w:r>
    </w:p>
    <w:p w14:paraId="5670F148"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 xml:space="preserve">Размеры специального знака взрывобезопасности определяет изготовитель оборудования для работы во взрывоопасных средах. Базовый размер высоты прямоугольника должен быть не менее 10 мм. Размеры специального знака взрывобезопасности должны гарантировать четкость его элементов и их </w:t>
      </w:r>
      <w:r w:rsidRPr="00751FA9">
        <w:rPr>
          <w:rFonts w:ascii="Arial" w:eastAsia="Times New Roman" w:hAnsi="Arial" w:cs="Arial"/>
          <w:color w:val="212529"/>
          <w:lang w:eastAsia="ru-RU"/>
        </w:rPr>
        <w:lastRenderedPageBreak/>
        <w:t xml:space="preserve">различимость невооруженным глазом на общем цветном фоне оборудования или </w:t>
      </w:r>
      <w:proofErr w:type="spellStart"/>
      <w:r w:rsidRPr="00751FA9">
        <w:rPr>
          <w:rFonts w:ascii="Arial" w:eastAsia="Times New Roman" w:hAnsi="Arial" w:cs="Arial"/>
          <w:color w:val="212529"/>
          <w:lang w:eastAsia="ru-RU"/>
        </w:rPr>
        <w:t>Ex</w:t>
      </w:r>
      <w:proofErr w:type="spellEnd"/>
      <w:r w:rsidRPr="00751FA9">
        <w:rPr>
          <w:rFonts w:ascii="Arial" w:eastAsia="Times New Roman" w:hAnsi="Arial" w:cs="Arial"/>
          <w:color w:val="212529"/>
          <w:lang w:eastAsia="ru-RU"/>
        </w:rPr>
        <w:t>-компонента.</w:t>
      </w:r>
    </w:p>
    <w:p w14:paraId="45E54440"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Утвержден</w:t>
      </w:r>
    </w:p>
    <w:p w14:paraId="07783713"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Решением Комиссии</w:t>
      </w:r>
    </w:p>
    <w:p w14:paraId="29E595FE"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Таможенного союза</w:t>
      </w:r>
    </w:p>
    <w:p w14:paraId="67B7ECB1"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от 18 октября 2011 г. N 825</w:t>
      </w:r>
    </w:p>
    <w:p w14:paraId="16001DB7"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ОБОРУДОВАНИЯ ДЛЯ РАБОТЫ ВО ВЗРЫВООПАСНЫХ СРЕДАХ" (ТР ТС 012/2011)</w:t>
      </w:r>
    </w:p>
    <w:p w14:paraId="1D80C00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Утратил силу. - Решение Коллегии Евразийской экономической комиссии от 01.12.2020 N 158.</w:t>
      </w:r>
    </w:p>
    <w:p w14:paraId="6F53E8D7"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Утвержден</w:t>
      </w:r>
    </w:p>
    <w:p w14:paraId="01187C91"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Решением Комиссии</w:t>
      </w:r>
    </w:p>
    <w:p w14:paraId="236F6EEA"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Таможенного союза</w:t>
      </w:r>
    </w:p>
    <w:p w14:paraId="04FECF3E" w14:textId="77777777" w:rsidR="00751FA9" w:rsidRPr="00751FA9" w:rsidRDefault="00751FA9" w:rsidP="00751FA9">
      <w:pPr>
        <w:spacing w:after="100" w:afterAutospacing="1"/>
        <w:jc w:val="right"/>
        <w:rPr>
          <w:rFonts w:ascii="Arial" w:eastAsia="Times New Roman" w:hAnsi="Arial" w:cs="Arial"/>
          <w:color w:val="212529"/>
          <w:lang w:eastAsia="ru-RU"/>
        </w:rPr>
      </w:pPr>
      <w:r w:rsidRPr="00751FA9">
        <w:rPr>
          <w:rFonts w:ascii="Arial" w:eastAsia="Times New Roman" w:hAnsi="Arial" w:cs="Arial"/>
          <w:color w:val="212529"/>
          <w:lang w:eastAsia="ru-RU"/>
        </w:rPr>
        <w:t>от 18 октября 2011 г. N 825</w:t>
      </w:r>
    </w:p>
    <w:p w14:paraId="3E614066" w14:textId="77777777" w:rsidR="00751FA9" w:rsidRPr="00751FA9" w:rsidRDefault="00751FA9" w:rsidP="00751FA9">
      <w:pPr>
        <w:spacing w:after="150"/>
        <w:jc w:val="center"/>
        <w:outlineLvl w:val="0"/>
        <w:rPr>
          <w:rFonts w:ascii="Arial" w:eastAsia="Times New Roman" w:hAnsi="Arial" w:cs="Arial"/>
          <w:b/>
          <w:bCs/>
          <w:color w:val="212529"/>
          <w:kern w:val="36"/>
          <w:sz w:val="33"/>
          <w:szCs w:val="33"/>
          <w:lang w:eastAsia="ru-RU"/>
        </w:rPr>
      </w:pPr>
      <w:r w:rsidRPr="00751FA9">
        <w:rPr>
          <w:rFonts w:ascii="Arial" w:eastAsia="Times New Roman" w:hAnsi="Arial" w:cs="Arial"/>
          <w:b/>
          <w:bCs/>
          <w:color w:val="212529"/>
          <w:kern w:val="36"/>
          <w:sz w:val="33"/>
          <w:szCs w:val="33"/>
          <w:lang w:eastAsia="ru-RU"/>
        </w:rPr>
        <w:t>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ДЛЯ РАБОТЫ ВО ВЗРЫВООПАСНЫХ СРЕДАХ" (ТР ТС 012/2011) И ОСУЩЕСТВЛЕНИЯ ОЦЕНКИ СООТВЕТСТВИЯ ОБЪЕКТОВ ТЕХНИЧЕСКОГО РЕГУЛИРОВАНИЯ</w:t>
      </w:r>
    </w:p>
    <w:p w14:paraId="33F05419" w14:textId="77777777" w:rsidR="00751FA9" w:rsidRPr="00751FA9" w:rsidRDefault="00751FA9" w:rsidP="00751FA9">
      <w:pPr>
        <w:spacing w:after="100" w:afterAutospacing="1"/>
        <w:rPr>
          <w:rFonts w:ascii="Arial" w:eastAsia="Times New Roman" w:hAnsi="Arial" w:cs="Arial"/>
          <w:color w:val="212529"/>
          <w:lang w:eastAsia="ru-RU"/>
        </w:rPr>
      </w:pPr>
      <w:r w:rsidRPr="00751FA9">
        <w:rPr>
          <w:rFonts w:ascii="Arial" w:eastAsia="Times New Roman" w:hAnsi="Arial" w:cs="Arial"/>
          <w:color w:val="212529"/>
          <w:lang w:eastAsia="ru-RU"/>
        </w:rPr>
        <w:t>Утратил силу. - Решение Коллегии Евразийской экономической комиссии от 01.12.2020 N 158.</w:t>
      </w:r>
    </w:p>
    <w:p w14:paraId="25D7065F" w14:textId="77777777" w:rsidR="00751FA9" w:rsidRPr="00751FA9" w:rsidRDefault="00751FA9" w:rsidP="00751FA9">
      <w:pPr>
        <w:spacing w:line="384" w:lineRule="atLeast"/>
        <w:rPr>
          <w:rFonts w:ascii="Open Sans" w:eastAsia="Times New Roman" w:hAnsi="Open Sans" w:cs="Open Sans"/>
          <w:color w:val="212529"/>
          <w:sz w:val="18"/>
          <w:szCs w:val="18"/>
          <w:lang w:eastAsia="ru-RU"/>
        </w:rPr>
      </w:pPr>
    </w:p>
    <w:p w14:paraId="4E31ACB1"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A9"/>
    <w:rsid w:val="00213BD2"/>
    <w:rsid w:val="00751FA9"/>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531C789"/>
  <w15:chartTrackingRefBased/>
  <w15:docId w15:val="{2B5D32A5-C702-4E48-9F30-1B9DB61E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51FA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1F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1FA9"/>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49945">
      <w:bodyDiv w:val="1"/>
      <w:marLeft w:val="0"/>
      <w:marRight w:val="0"/>
      <w:marTop w:val="0"/>
      <w:marBottom w:val="0"/>
      <w:divBdr>
        <w:top w:val="none" w:sz="0" w:space="0" w:color="auto"/>
        <w:left w:val="none" w:sz="0" w:space="0" w:color="auto"/>
        <w:bottom w:val="none" w:sz="0" w:space="0" w:color="auto"/>
        <w:right w:val="none" w:sz="0" w:space="0" w:color="auto"/>
      </w:divBdr>
      <w:divsChild>
        <w:div w:id="1790200756">
          <w:marLeft w:val="0"/>
          <w:marRight w:val="0"/>
          <w:marTop w:val="0"/>
          <w:marBottom w:val="0"/>
          <w:divBdr>
            <w:top w:val="none" w:sz="0" w:space="0" w:color="auto"/>
            <w:left w:val="none" w:sz="0" w:space="0" w:color="auto"/>
            <w:bottom w:val="none" w:sz="0" w:space="0" w:color="auto"/>
            <w:right w:val="none" w:sz="0" w:space="0" w:color="auto"/>
          </w:divBdr>
        </w:div>
        <w:div w:id="173874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7677</Words>
  <Characters>43760</Characters>
  <Application>Microsoft Office Word</Application>
  <DocSecurity>0</DocSecurity>
  <Lines>364</Lines>
  <Paragraphs>102</Paragraphs>
  <ScaleCrop>false</ScaleCrop>
  <Company/>
  <LinksUpToDate>false</LinksUpToDate>
  <CharactersWithSpaces>51335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2022-07-12T02:58:00Z</dcterms:created>
  <dcterms:modified xsi:type="dcterms:W3CDTF">2022-07-12T02:59:00Z</dcterms:modified>
</cp:coreProperties>
</file>